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2D6AB475"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w:t>
            </w:r>
            <w:r w:rsidR="004F6AC1">
              <w:rPr>
                <w:rFonts w:eastAsia="Calibri" w:cstheme="minorHAnsi"/>
                <w:bCs/>
              </w:rPr>
              <w:t>’</w:t>
            </w:r>
            <w:r w:rsidRPr="00954E04">
              <w:rPr>
                <w:rFonts w:eastAsia="Calibri" w:cstheme="minorHAnsi"/>
                <w:bCs/>
              </w:rPr>
              <w:t>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1FAE18F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15970A31"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7C1E59">
              <w:rPr>
                <w:rFonts w:eastAsia="Calibri" w:cstheme="minorHAnsi"/>
                <w:bCs/>
              </w:rPr>
              <w:t>Surrey and Sussex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06D704C1"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339FEC8A" w14:textId="77777777" w:rsidR="004F6AC1"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w:t>
            </w:r>
          </w:p>
          <w:p w14:paraId="1AD81FEE" w14:textId="77777777" w:rsidR="004F6AC1" w:rsidRDefault="004F6AC1" w:rsidP="006D24A0">
            <w:pPr>
              <w:autoSpaceDE w:val="0"/>
              <w:autoSpaceDN w:val="0"/>
              <w:rPr>
                <w:rFonts w:ascii="Calibri" w:hAnsi="Calibri" w:cs="Calibri"/>
                <w:sz w:val="23"/>
                <w:szCs w:val="23"/>
              </w:rPr>
            </w:pPr>
          </w:p>
          <w:p w14:paraId="0A81C382" w14:textId="19422D7F"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5633F763" w14:textId="77777777" w:rsidR="006D24A0" w:rsidRDefault="006D24A0" w:rsidP="006D24A0">
            <w:pPr>
              <w:jc w:val="both"/>
              <w:rPr>
                <w:rFonts w:ascii="Calibri" w:hAnsi="Calibri" w:cs="Calibri"/>
              </w:rPr>
            </w:pPr>
            <w:r w:rsidRPr="00954E04">
              <w:rPr>
                <w:rFonts w:ascii="Calibri" w:hAnsi="Calibri" w:cs="Calibri"/>
                <w:b/>
                <w:bCs/>
              </w:rPr>
              <w:t xml:space="preserve">Processor – </w:t>
            </w:r>
            <w:r w:rsidRPr="00954E04">
              <w:rPr>
                <w:rFonts w:ascii="Calibri" w:hAnsi="Calibri" w:cs="Calibri"/>
              </w:rPr>
              <w:t>NHS England</w:t>
            </w:r>
          </w:p>
          <w:p w14:paraId="67A977FE" w14:textId="77777777" w:rsidR="007C1E59" w:rsidRDefault="007C1E59" w:rsidP="006D24A0">
            <w:pPr>
              <w:jc w:val="both"/>
              <w:rPr>
                <w:rFonts w:ascii="Calibri" w:eastAsia="Calibri" w:hAnsi="Calibri" w:cs="Calibri"/>
                <w:b/>
              </w:rPr>
            </w:pPr>
          </w:p>
          <w:p w14:paraId="5AC47B30" w14:textId="77777777" w:rsidR="007C1E59" w:rsidRDefault="007C1E59" w:rsidP="006D24A0">
            <w:pPr>
              <w:jc w:val="both"/>
              <w:rPr>
                <w:rFonts w:ascii="Calibri" w:eastAsia="Calibri" w:hAnsi="Calibri" w:cs="Calibri"/>
                <w:b/>
              </w:rPr>
            </w:pPr>
          </w:p>
          <w:p w14:paraId="4CABB821" w14:textId="2F36063A" w:rsidR="007C1E59" w:rsidRDefault="007C1E59" w:rsidP="006D24A0">
            <w:pPr>
              <w:jc w:val="both"/>
              <w:rPr>
                <w:rFonts w:eastAsia="Calibri" w:cstheme="minorHAnsi"/>
                <w:b/>
                <w:bCs/>
              </w:rPr>
            </w:pP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00A4DCCE" w14:textId="43AE40BC" w:rsidR="006D24A0" w:rsidRDefault="006D24A0" w:rsidP="006D24A0">
            <w:pPr>
              <w:jc w:val="both"/>
              <w:rPr>
                <w:rFonts w:eastAsia="Calibri" w:cstheme="minorHAnsi"/>
                <w:bCs/>
              </w:rPr>
            </w:pPr>
            <w:r>
              <w:rPr>
                <w:rFonts w:eastAsia="Calibri" w:cstheme="minorHAnsi"/>
                <w:b/>
                <w:bCs/>
              </w:rPr>
              <w:t xml:space="preserve">Processor – </w:t>
            </w:r>
            <w:r w:rsidR="007C1E59">
              <w:rPr>
                <w:rFonts w:eastAsia="Calibri" w:cstheme="minorHAnsi"/>
                <w:bCs/>
              </w:rPr>
              <w:t xml:space="preserve">Only organisations that </w:t>
            </w:r>
            <w:r w:rsidR="009A6037">
              <w:rPr>
                <w:rFonts w:eastAsia="Calibri" w:cstheme="minorHAnsi"/>
                <w:bCs/>
              </w:rPr>
              <w:t xml:space="preserve">are Centrally approved (NHS) projects or research projects </w:t>
            </w:r>
            <w:r w:rsidR="007C1E59">
              <w:rPr>
                <w:rFonts w:eastAsia="Calibri" w:cstheme="minorHAnsi"/>
                <w:bCs/>
              </w:rPr>
              <w:t>the patient has instructed us to explicitly to share information with</w:t>
            </w:r>
            <w:r w:rsidR="009A6037">
              <w:rPr>
                <w:rFonts w:eastAsia="Calibri" w:cstheme="minorHAnsi"/>
                <w:bCs/>
              </w:rPr>
              <w:t xml:space="preserve"> via a consent form</w:t>
            </w:r>
            <w:r w:rsidR="007C1E59">
              <w:rPr>
                <w:rFonts w:eastAsia="Calibri" w:cstheme="minorHAnsi"/>
                <w:bCs/>
              </w:rPr>
              <w:t xml:space="preserve"> </w:t>
            </w:r>
          </w:p>
          <w:p w14:paraId="4B92AA76" w14:textId="77777777" w:rsidR="009A6037" w:rsidRDefault="009A6037" w:rsidP="006D24A0">
            <w:pPr>
              <w:jc w:val="both"/>
              <w:rPr>
                <w:rFonts w:eastAsia="Calibri" w:cstheme="minorHAnsi"/>
                <w:bCs/>
              </w:rPr>
            </w:pPr>
          </w:p>
          <w:p w14:paraId="44DA2453" w14:textId="4127CA46" w:rsidR="009A6037" w:rsidRPr="00954E04" w:rsidRDefault="009A6037" w:rsidP="006D24A0">
            <w:pPr>
              <w:jc w:val="both"/>
              <w:rPr>
                <w:rFonts w:eastAsia="Calibri" w:cstheme="minorHAnsi"/>
                <w:b/>
                <w:bCs/>
              </w:rPr>
            </w:pP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3807D85"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r w:rsidR="00D027C3" w:rsidRPr="00954E04">
              <w:rPr>
                <w:rFonts w:eastAsia="Calibri" w:cstheme="minorHAnsi"/>
                <w:bCs/>
              </w:rPr>
              <w:t>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7F4DDA39" w14:textId="77777777" w:rsidR="006D24A0" w:rsidRDefault="008224F7" w:rsidP="006D24A0">
            <w:pPr>
              <w:jc w:val="both"/>
              <w:rPr>
                <w:rFonts w:eastAsia="Calibri" w:cstheme="minorHAnsi"/>
                <w:bCs/>
              </w:rPr>
            </w:pPr>
            <w:r>
              <w:rPr>
                <w:rFonts w:eastAsia="Calibri" w:cstheme="minorHAnsi"/>
                <w:b/>
                <w:bCs/>
              </w:rPr>
              <w:t>P</w:t>
            </w:r>
            <w:r w:rsidR="006D24A0" w:rsidRPr="00954E04">
              <w:rPr>
                <w:rFonts w:eastAsia="Calibri" w:cstheme="minorHAnsi"/>
                <w:b/>
                <w:bCs/>
              </w:rPr>
              <w:t>rocessor</w:t>
            </w:r>
            <w:r w:rsidR="006D24A0" w:rsidRPr="00954E04">
              <w:rPr>
                <w:rFonts w:eastAsia="Calibri" w:cstheme="minorHAnsi"/>
                <w:bCs/>
              </w:rPr>
              <w:t xml:space="preserve"> –</w:t>
            </w:r>
            <w:r w:rsidR="006D24A0" w:rsidRPr="007C1E59">
              <w:rPr>
                <w:rFonts w:eastAsia="Calibri" w:cstheme="minorHAnsi"/>
                <w:bCs/>
              </w:rPr>
              <w:t>IFR requests</w:t>
            </w:r>
            <w:r w:rsidR="007C1E59" w:rsidRPr="007C1E59">
              <w:rPr>
                <w:rFonts w:eastAsia="Calibri" w:cstheme="minorHAnsi"/>
                <w:bCs/>
              </w:rPr>
              <w:t xml:space="preserve"> Surrey and Sussex</w:t>
            </w:r>
          </w:p>
          <w:p w14:paraId="606B3285" w14:textId="5F0EF761" w:rsidR="007C1E59" w:rsidRPr="00954E04" w:rsidRDefault="007C1E59" w:rsidP="006D24A0">
            <w:pPr>
              <w:jc w:val="both"/>
              <w:rPr>
                <w:rFonts w:eastAsia="Calibri" w:cstheme="minorHAnsi"/>
                <w:b/>
                <w:bCs/>
              </w:rPr>
            </w:pP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lastRenderedPageBreak/>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7E60F60C" w14:textId="77777777" w:rsidR="006D24A0" w:rsidRDefault="006D24A0" w:rsidP="006D24A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 </w:t>
            </w:r>
            <w:r w:rsidR="007C1E59">
              <w:rPr>
                <w:rFonts w:eastAsia="Calibri" w:cstheme="minorHAnsi"/>
                <w:bCs/>
              </w:rPr>
              <w:t>East Sussex Adults Safeguarding Board</w:t>
            </w:r>
          </w:p>
          <w:p w14:paraId="2A48C973" w14:textId="1B03E5E2" w:rsidR="007C1E59" w:rsidRPr="00954E04" w:rsidRDefault="007C1E59" w:rsidP="006D24A0">
            <w:pPr>
              <w:jc w:val="both"/>
              <w:rPr>
                <w:rFonts w:eastAsia="Calibri" w:cstheme="minorHAnsi"/>
                <w:b/>
                <w:bCs/>
              </w:rPr>
            </w:pPr>
            <w:r w:rsidRPr="007C1E59">
              <w:rPr>
                <w:rFonts w:eastAsia="Calibri" w:cstheme="minorHAnsi"/>
                <w:b/>
                <w:bCs/>
              </w:rPr>
              <w:t>https://www.eastsussexsab.org.uk/</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0BE4CC7" w14:textId="65B4DD61" w:rsidR="006D24A0"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7C1E59">
              <w:rPr>
                <w:rFonts w:eastAsia="Calibri" w:cstheme="minorHAnsi"/>
                <w:bCs/>
              </w:rPr>
              <w:t xml:space="preserve">East Sussex Safeguarding Partnership </w:t>
            </w:r>
            <w:r w:rsidR="007C1E59" w:rsidRPr="007C1E59">
              <w:rPr>
                <w:rFonts w:eastAsia="Calibri" w:cstheme="minorHAnsi"/>
                <w:bCs/>
              </w:rPr>
              <w:t>https://www.esscp.org.uk/</w:t>
            </w:r>
          </w:p>
          <w:p w14:paraId="327AB698" w14:textId="0FCC86DE" w:rsidR="007C1E59" w:rsidRPr="00954E04" w:rsidRDefault="007C1E59" w:rsidP="006D24A0">
            <w:pPr>
              <w:jc w:val="both"/>
              <w:rPr>
                <w:rFonts w:eastAsia="Calibri" w:cstheme="minorHAnsi"/>
                <w:b/>
                <w:bCs/>
              </w:rPr>
            </w:pP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41DB7FEC"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r w:rsidR="004D13A3" w:rsidRPr="00954E04">
              <w:rPr>
                <w:rFonts w:cstheme="minorHAnsi"/>
                <w:sz w:val="23"/>
                <w:szCs w:val="23"/>
              </w:rPr>
              <w:t>at risk</w:t>
            </w:r>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lastRenderedPageBreak/>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E7814A5" w14:textId="57844C89" w:rsidR="007C1E59" w:rsidRDefault="006D24A0" w:rsidP="006D24A0">
            <w:pPr>
              <w:jc w:val="both"/>
              <w:rPr>
                <w:rFonts w:cstheme="minorHAnsi"/>
                <w:lang w:val="en-US"/>
              </w:rPr>
            </w:pPr>
            <w:r w:rsidRPr="00954E04">
              <w:rPr>
                <w:rFonts w:cstheme="minorHAnsi"/>
                <w:b/>
                <w:lang w:val="en-US"/>
              </w:rPr>
              <w:t>Processor</w:t>
            </w:r>
            <w:r w:rsidRPr="00954E04">
              <w:rPr>
                <w:rFonts w:cstheme="minorHAnsi"/>
                <w:lang w:val="en-US"/>
              </w:rPr>
              <w:t xml:space="preserve"> – </w:t>
            </w:r>
            <w:r w:rsidR="007C1E59">
              <w:rPr>
                <w:rFonts w:cstheme="minorHAnsi"/>
                <w:lang w:val="en-US"/>
              </w:rPr>
              <w:t xml:space="preserve">NHS centrally approved sharing </w:t>
            </w:r>
            <w:r w:rsidR="007C1E59" w:rsidRPr="00954E04">
              <w:rPr>
                <w:rFonts w:eastAsia="Calibri" w:cstheme="minorHAnsi"/>
                <w:bCs/>
              </w:rPr>
              <w:t>Risk Stratification – Preventative Care</w:t>
            </w:r>
          </w:p>
          <w:p w14:paraId="63D30384" w14:textId="1B1ACEB1" w:rsidR="006D24A0" w:rsidRPr="00954E04" w:rsidRDefault="007C1E59" w:rsidP="006D24A0">
            <w:pPr>
              <w:jc w:val="both"/>
              <w:rPr>
                <w:rFonts w:cstheme="minorHAnsi"/>
              </w:rPr>
            </w:pPr>
            <w:r>
              <w:rPr>
                <w:rFonts w:cstheme="minorHAnsi"/>
                <w:lang w:val="en-US"/>
              </w:rPr>
              <w:t xml:space="preserve"> </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3AAF2F72" w:rsidR="006D24A0" w:rsidRDefault="006D24A0" w:rsidP="006D24A0">
            <w:pPr>
              <w:pStyle w:val="NoSpacing"/>
            </w:pPr>
            <w:r>
              <w:t xml:space="preserve">More </w:t>
            </w:r>
            <w:r w:rsidRPr="00954E04">
              <w:t>information can be fo</w:t>
            </w:r>
            <w:r w:rsidRPr="008224F7">
              <w:t xml:space="preserve">und at: </w:t>
            </w:r>
            <w:hyperlink r:id="rId10" w:history="1">
              <w:r w:rsidR="0098734B" w:rsidRPr="008224F7">
                <w:rPr>
                  <w:rStyle w:val="Hyperlink"/>
                </w:rPr>
                <w:t>Population screening programmes - GOV.UK</w:t>
              </w:r>
            </w:hyperlink>
            <w:r w:rsidR="0098734B" w:rsidRPr="008224F7">
              <w:t xml:space="preserve"> </w:t>
            </w:r>
            <w:r w:rsidRPr="008224F7">
              <w:t>[Or</w:t>
            </w:r>
            <w:r w:rsidRPr="00954E04">
              <w:t xml:space="preserve"> insert relevant link] or speak to the </w:t>
            </w:r>
            <w:r>
              <w:t>practice.</w:t>
            </w:r>
          </w:p>
          <w:p w14:paraId="1965962C" w14:textId="77777777" w:rsidR="006D24A0" w:rsidRDefault="006D24A0" w:rsidP="006D24A0">
            <w:pPr>
              <w:pStyle w:val="NoSpacing"/>
            </w:pPr>
          </w:p>
          <w:p w14:paraId="14288DC0" w14:textId="77777777" w:rsidR="008224F7" w:rsidRDefault="006D24A0" w:rsidP="006D24A0">
            <w:pPr>
              <w:jc w:val="both"/>
              <w:rPr>
                <w:rFonts w:eastAsia="Calibri" w:cstheme="minorHAnsi"/>
                <w:bCs/>
              </w:rPr>
            </w:pPr>
            <w:r w:rsidRPr="008224F7">
              <w:rPr>
                <w:rFonts w:eastAsia="Calibri" w:cstheme="minorHAnsi"/>
                <w:bCs/>
              </w:rPr>
              <w:t xml:space="preserve">Patients </w:t>
            </w:r>
            <w:r w:rsidRPr="008224F7">
              <w:rPr>
                <w:rFonts w:eastAsia="Calibri" w:cstheme="minorHAnsi"/>
                <w:b/>
              </w:rPr>
              <w:t>may not opt out</w:t>
            </w:r>
            <w:r>
              <w:rPr>
                <w:rFonts w:eastAsia="Calibri" w:cstheme="minorHAnsi"/>
                <w:bCs/>
              </w:rPr>
              <w:t xml:space="preserve"> of having their personal information shared for Public Health reasons.</w:t>
            </w:r>
          </w:p>
          <w:p w14:paraId="7BB462AA" w14:textId="72D2B6A5" w:rsidR="006D24A0" w:rsidRDefault="008224F7" w:rsidP="006D24A0">
            <w:pPr>
              <w:jc w:val="both"/>
              <w:rPr>
                <w:rFonts w:eastAsia="Calibri" w:cstheme="minorHAnsi"/>
                <w:bCs/>
              </w:rPr>
            </w:pPr>
            <w:r>
              <w:rPr>
                <w:rFonts w:eastAsia="Calibri" w:cstheme="minorHAnsi"/>
                <w:bCs/>
              </w:rPr>
              <w:t>P</w:t>
            </w:r>
            <w:r w:rsidR="006D24A0">
              <w:rPr>
                <w:rFonts w:eastAsia="Calibri" w:cstheme="minorHAnsi"/>
                <w:bCs/>
              </w:rPr>
              <w:t>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0588BCFD" w14:textId="77777777" w:rsidR="006D24A0" w:rsidRDefault="006D24A0" w:rsidP="006D24A0">
            <w:pPr>
              <w:jc w:val="both"/>
              <w:rPr>
                <w:rFonts w:eastAsia="Calibri" w:cstheme="minorHAnsi"/>
                <w:bCs/>
              </w:rPr>
            </w:pPr>
            <w:r w:rsidRPr="008224F7">
              <w:rPr>
                <w:rFonts w:eastAsia="Calibri" w:cstheme="minorHAnsi"/>
                <w:b/>
              </w:rPr>
              <w:t>Processor</w:t>
            </w:r>
            <w:r w:rsidRPr="00954E04">
              <w:rPr>
                <w:rFonts w:eastAsia="Calibri" w:cstheme="minorHAnsi"/>
                <w:bCs/>
              </w:rPr>
              <w:t xml:space="preserve"> –</w:t>
            </w:r>
            <w:r w:rsidRPr="007C1E59">
              <w:rPr>
                <w:rFonts w:eastAsia="Calibri" w:cstheme="minorHAnsi"/>
                <w:bCs/>
              </w:rPr>
              <w:t xml:space="preserve">Public Health </w:t>
            </w:r>
            <w:r w:rsidR="007C1E59" w:rsidRPr="007C1E59">
              <w:rPr>
                <w:rFonts w:eastAsia="Calibri" w:cstheme="minorHAnsi"/>
                <w:bCs/>
              </w:rPr>
              <w:t>Team at Brighton and Hove Council</w:t>
            </w:r>
          </w:p>
          <w:p w14:paraId="3923CE85" w14:textId="0414F945" w:rsidR="007C1E59" w:rsidRPr="00AA0BD9" w:rsidRDefault="007C1E59" w:rsidP="006D24A0">
            <w:pPr>
              <w:jc w:val="both"/>
              <w:rPr>
                <w:rFonts w:eastAsia="Calibri" w:cstheme="minorHAnsi"/>
                <w:bCs/>
              </w:rPr>
            </w:pP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lastRenderedPageBreak/>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1FAB9095" w:rsidR="006D24A0" w:rsidRPr="00954E04" w:rsidRDefault="006D24A0" w:rsidP="006D24A0">
            <w:pPr>
              <w:jc w:val="both"/>
              <w:rPr>
                <w:rFonts w:eastAsia="Calibri" w:cstheme="minorHAnsi"/>
                <w:b/>
                <w:bCs/>
              </w:rPr>
            </w:pPr>
            <w:r w:rsidRPr="00954E04">
              <w:rPr>
                <w:rFonts w:eastAsia="Calibri" w:cstheme="minorHAnsi"/>
                <w:b/>
                <w:bCs/>
              </w:rPr>
              <w:lastRenderedPageBreak/>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w:t>
            </w:r>
            <w:r w:rsidRPr="00954E04">
              <w:rPr>
                <w:rFonts w:eastAsia="Calibri" w:cstheme="minorHAnsi"/>
                <w:bCs/>
              </w:rPr>
              <w:lastRenderedPageBreak/>
              <w:t xml:space="preserve">providers for a range of services, including treatment, operations, </w:t>
            </w:r>
            <w:r w:rsidRPr="008224F7">
              <w:rPr>
                <w:rFonts w:eastAsia="Calibri" w:cstheme="minorHAnsi"/>
                <w:bCs/>
              </w:rPr>
              <w:t>physio</w:t>
            </w:r>
            <w:r w:rsidR="00EA1974" w:rsidRPr="008224F7">
              <w:rPr>
                <w:rFonts w:eastAsia="Calibri" w:cstheme="minorHAnsi"/>
                <w:bCs/>
              </w:rPr>
              <w:t>therapy</w:t>
            </w:r>
            <w:r w:rsidRPr="008224F7">
              <w:rPr>
                <w:rFonts w:eastAsia="Calibri" w:cstheme="minorHAnsi"/>
                <w:bCs/>
              </w:rPr>
              <w:t>,</w:t>
            </w:r>
            <w:r w:rsidRPr="00954E04">
              <w:rPr>
                <w:rFonts w:eastAsia="Calibri" w:cstheme="minorHAnsi"/>
                <w:bCs/>
              </w:rPr>
              <w:t xml:space="preserve">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B1723A5" w14:textId="77777777" w:rsidR="006D24A0" w:rsidRDefault="006D24A0" w:rsidP="006D24A0">
            <w:pPr>
              <w:jc w:val="both"/>
              <w:rPr>
                <w:rFonts w:cstheme="minorHAnsi"/>
              </w:rPr>
            </w:pPr>
            <w:r w:rsidRPr="00954E04">
              <w:rPr>
                <w:rFonts w:cstheme="minorHAnsi"/>
                <w:b/>
              </w:rPr>
              <w:t>Processor</w:t>
            </w:r>
            <w:r w:rsidRPr="00954E04">
              <w:rPr>
                <w:rFonts w:cstheme="minorHAnsi"/>
              </w:rPr>
              <w:t xml:space="preserve"> – </w:t>
            </w:r>
            <w:r w:rsidR="007C1E59">
              <w:rPr>
                <w:rFonts w:cstheme="minorHAnsi"/>
              </w:rPr>
              <w:t>Brighton and Sussex University Hospital Trust</w:t>
            </w:r>
          </w:p>
          <w:p w14:paraId="0D33E0D1" w14:textId="490271A6" w:rsidR="007C1E59" w:rsidRDefault="007C1E59" w:rsidP="006D24A0">
            <w:pPr>
              <w:jc w:val="both"/>
              <w:rPr>
                <w:rFonts w:cstheme="minorHAnsi"/>
              </w:rPr>
            </w:pPr>
            <w:r>
              <w:rPr>
                <w:rFonts w:cstheme="minorHAnsi"/>
              </w:rPr>
              <w:t>or any provider that you attend</w:t>
            </w:r>
          </w:p>
          <w:p w14:paraId="1A3B209B" w14:textId="1E402319" w:rsidR="007C1E59" w:rsidRPr="00954E04" w:rsidRDefault="007C1E59" w:rsidP="006D24A0">
            <w:pPr>
              <w:jc w:val="both"/>
              <w:rPr>
                <w:rFonts w:eastAsia="Calibri" w:cstheme="minorHAnsi"/>
                <w:bCs/>
              </w:rPr>
            </w:pPr>
          </w:p>
        </w:tc>
      </w:tr>
      <w:tr w:rsidR="006D24A0" w:rsidRPr="00954E04" w14:paraId="50245466" w14:textId="77777777" w:rsidTr="00AD412F">
        <w:tc>
          <w:tcPr>
            <w:tcW w:w="2972" w:type="dxa"/>
          </w:tcPr>
          <w:p w14:paraId="6ACB7131" w14:textId="088987BF" w:rsidR="006D24A0" w:rsidRPr="00954E04" w:rsidRDefault="006D24A0" w:rsidP="006D24A0">
            <w:pPr>
              <w:rPr>
                <w:rFonts w:eastAsia="Calibri" w:cstheme="minorHAnsi"/>
                <w:bCs/>
              </w:rPr>
            </w:pPr>
            <w:r w:rsidRPr="00954E04">
              <w:rPr>
                <w:rFonts w:eastAsia="Calibri" w:cstheme="minorHAnsi"/>
                <w:bCs/>
              </w:rPr>
              <w:lastRenderedPageBreak/>
              <w:t>Care Quality Commission</w:t>
            </w:r>
            <w:r w:rsidR="0098734B">
              <w:rPr>
                <w:rFonts w:eastAsia="Calibri" w:cstheme="minorHAnsi"/>
                <w:bCs/>
              </w:rPr>
              <w:t xml:space="preserve"> </w:t>
            </w:r>
            <w:r w:rsidR="007E387E">
              <w:rPr>
                <w:rFonts w:eastAsia="Calibri" w:cstheme="minorHAnsi"/>
                <w:bCs/>
              </w:rPr>
              <w:t>(CQC)</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47AD367C" w:rsidR="006D24A0" w:rsidRPr="00954E04" w:rsidRDefault="006D24A0" w:rsidP="006D24A0">
            <w:pPr>
              <w:jc w:val="both"/>
            </w:pPr>
            <w:r w:rsidRPr="00954E04">
              <w:t xml:space="preserve">More detail on how they ensure compliance with data protection law (including </w:t>
            </w:r>
            <w:r>
              <w:t xml:space="preserve">UK </w:t>
            </w:r>
            <w:r w:rsidRPr="00954E04">
              <w:t>GDPR) and their privacy statement is</w:t>
            </w:r>
            <w:r w:rsidRPr="007E387E">
              <w:t xml:space="preserve"> </w:t>
            </w:r>
            <w:hyperlink r:id="rId11" w:tgtFrame="_blank" w:history="1">
              <w:r w:rsidRPr="007E387E">
                <w:t>available on our website</w:t>
              </w:r>
            </w:hyperlink>
            <w:r w:rsidRPr="007E387E">
              <w:rPr>
                <w:b/>
                <w:bCs/>
              </w:rPr>
              <w:t>:</w:t>
            </w:r>
            <w:r w:rsidR="007E387E">
              <w:rPr>
                <w:b/>
                <w:bCs/>
              </w:rPr>
              <w:t xml:space="preserve"> </w:t>
            </w:r>
            <w:hyperlink r:id="rId12" w:history="1">
              <w:r w:rsidR="007E387E" w:rsidRPr="008224F7">
                <w:rPr>
                  <w:rStyle w:val="Hyperlink"/>
                  <w:b/>
                  <w:bCs/>
                </w:rPr>
                <w:t>Privacy statement - Care Quality Commission</w:t>
              </w:r>
            </w:hyperlink>
            <w:r w:rsidRPr="007E387E">
              <w:rPr>
                <w:b/>
                <w:bCs/>
              </w:rPr>
              <w:t xml:space="preserve"> </w:t>
            </w:r>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5B100D2F" w:rsidR="006D24A0" w:rsidRPr="00703C18" w:rsidRDefault="006D24A0" w:rsidP="006D24A0">
            <w:pPr>
              <w:jc w:val="both"/>
              <w:rPr>
                <w:rFonts w:cstheme="minorHAnsi"/>
              </w:rPr>
            </w:pPr>
            <w:r w:rsidRPr="00954E04">
              <w:rPr>
                <w:rFonts w:cstheme="minorHAnsi"/>
                <w:b/>
              </w:rPr>
              <w:t>Processor</w:t>
            </w:r>
            <w:r w:rsidRPr="00954E04">
              <w:rPr>
                <w:rFonts w:cstheme="minorHAnsi"/>
              </w:rPr>
              <w:t xml:space="preserve">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3FF6CCB8" w14:textId="43630584" w:rsidR="00EA1974" w:rsidRDefault="006D24A0" w:rsidP="002B05A9">
            <w:pPr>
              <w:rPr>
                <w:rFonts w:eastAsia="Calibri" w:cstheme="minorHAnsi"/>
              </w:rPr>
            </w:pPr>
            <w:r w:rsidRPr="00A126AF">
              <w:rPr>
                <w:rFonts w:eastAsia="Calibri" w:cstheme="minorHAnsi"/>
                <w:b/>
                <w:bCs/>
              </w:rPr>
              <w:t>Purp</w:t>
            </w:r>
            <w:r w:rsidRPr="008224F7">
              <w:rPr>
                <w:rFonts w:eastAsia="Calibri" w:cstheme="minorHAnsi"/>
                <w:b/>
                <w:bCs/>
              </w:rPr>
              <w:t xml:space="preserve">ose – </w:t>
            </w:r>
            <w:r w:rsidR="00EA1974" w:rsidRPr="008224F7">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18B3C519" w14:textId="77777777" w:rsidR="00EA1974" w:rsidRDefault="00EA1974" w:rsidP="002B05A9">
            <w:pPr>
              <w:rPr>
                <w:rFonts w:eastAsia="Calibri" w:cstheme="minorHAnsi"/>
                <w:b/>
                <w:bCs/>
              </w:rPr>
            </w:pPr>
          </w:p>
          <w:p w14:paraId="0FBAA5CD" w14:textId="39926343" w:rsidR="006D24A0" w:rsidRPr="00A126AF" w:rsidRDefault="006D24A0" w:rsidP="002B05A9">
            <w:pPr>
              <w:rPr>
                <w:rFonts w:eastAsia="Calibri" w:cstheme="minorHAnsi"/>
              </w:rPr>
            </w:pP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742D6ECD"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r w:rsidR="00EA1974" w:rsidRPr="002B05A9">
              <w:rPr>
                <w:rFonts w:eastAsia="Calibri" w:cstheme="minorHAnsi"/>
              </w:rPr>
              <w:t>services but</w:t>
            </w:r>
            <w:r w:rsidRPr="002B05A9">
              <w:rPr>
                <w:rFonts w:eastAsia="Calibri" w:cstheme="minorHAnsi"/>
              </w:rPr>
              <w:t xml:space="preserve"> looking to </w:t>
            </w:r>
            <w:r w:rsidR="007E387E" w:rsidRPr="002B05A9">
              <w:rPr>
                <w:rFonts w:eastAsia="Calibri" w:cstheme="minorHAnsi"/>
              </w:rPr>
              <w:t>join up</w:t>
            </w:r>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6348E038" w14:textId="77777777" w:rsidR="007E387E"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w:t>
            </w:r>
          </w:p>
          <w:p w14:paraId="4BC9AE21" w14:textId="77777777" w:rsidR="00EA1974" w:rsidRDefault="00EA1974" w:rsidP="002B05A9">
            <w:pPr>
              <w:rPr>
                <w:rFonts w:eastAsia="Calibri" w:cstheme="minorHAnsi"/>
              </w:rPr>
            </w:pPr>
          </w:p>
          <w:p w14:paraId="09ECBC2E" w14:textId="0E00B26D" w:rsidR="006D24A0" w:rsidRPr="00A126AF" w:rsidRDefault="006D24A0" w:rsidP="002B05A9">
            <w:pPr>
              <w:rPr>
                <w:rFonts w:eastAsia="Calibri" w:cstheme="minorHAnsi"/>
              </w:rPr>
            </w:pPr>
            <w:r w:rsidRPr="00A126AF">
              <w:rPr>
                <w:rFonts w:eastAsia="Calibri" w:cstheme="minorHAnsi"/>
              </w:rPr>
              <w:lastRenderedPageBreak/>
              <w:t>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1AB30E53" w:rsidR="006D24A0" w:rsidRPr="00954E04" w:rsidRDefault="006D24A0" w:rsidP="006D24A0">
            <w:pPr>
              <w:jc w:val="both"/>
              <w:rPr>
                <w:rFonts w:eastAsia="Calibri" w:cstheme="minorHAnsi"/>
                <w:b/>
                <w:bCs/>
              </w:rPr>
            </w:pPr>
            <w:r w:rsidRPr="00A126AF">
              <w:rPr>
                <w:rFonts w:eastAsia="Calibri" w:cstheme="minorHAnsi"/>
                <w:b/>
                <w:bCs/>
              </w:rPr>
              <w:t>Processor -</w:t>
            </w:r>
            <w:r>
              <w:rPr>
                <w:rFonts w:eastAsia="Calibri" w:cstheme="minorHAnsi"/>
                <w:b/>
                <w:bCs/>
              </w:rPr>
              <w:t xml:space="preserve"> </w:t>
            </w:r>
            <w:r w:rsidRPr="007C1E59">
              <w:rPr>
                <w:rFonts w:eastAsia="Calibri" w:cstheme="minorHAnsi"/>
              </w:rPr>
              <w:t>Optum, Cerner</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3A0911A1" w14:textId="77777777" w:rsidR="007E387E"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634D35D8" w14:textId="77777777" w:rsidR="007E387E" w:rsidRDefault="007E387E" w:rsidP="006D24A0">
            <w:pPr>
              <w:jc w:val="both"/>
              <w:rPr>
                <w:rFonts w:cstheme="minorHAnsi"/>
              </w:rPr>
            </w:pPr>
          </w:p>
          <w:p w14:paraId="2C239EFD" w14:textId="72716ED2" w:rsidR="006D24A0" w:rsidRPr="00954E04" w:rsidRDefault="007E387E" w:rsidP="006D24A0">
            <w:pPr>
              <w:jc w:val="both"/>
              <w:rPr>
                <w:rFonts w:cstheme="minorHAnsi"/>
              </w:rPr>
            </w:pPr>
            <w:r w:rsidRPr="008224F7">
              <w:rPr>
                <w:rFonts w:cstheme="minorHAnsi"/>
              </w:rPr>
              <w:t xml:space="preserve">Practices can also receive payments for participating in agreed national or local enhanced services, for instance opening early in the morning or late at night or at the weekends. </w:t>
            </w:r>
            <w:r w:rsidR="006D24A0" w:rsidRPr="008224F7">
              <w:rPr>
                <w:rFonts w:cstheme="minorHAnsi"/>
              </w:rPr>
              <w:t>Practices</w:t>
            </w:r>
            <w:r w:rsidR="006D24A0" w:rsidRPr="00954E04">
              <w:rPr>
                <w:rFonts w:cstheme="minorHAnsi"/>
              </w:rPr>
              <w:t xml:space="preserve"> can also receive payments for certain national initiatives such as immunisation programs and practices may also receive incom</w:t>
            </w:r>
            <w:r w:rsidR="006D24A0">
              <w:rPr>
                <w:rFonts w:cstheme="minorHAnsi"/>
              </w:rPr>
              <w:t>es relating to a variety of non-</w:t>
            </w:r>
            <w:r w:rsidR="006D24A0" w:rsidRPr="00954E04">
              <w:rPr>
                <w:rFonts w:cstheme="minorHAnsi"/>
              </w:rPr>
              <w:t xml:space="preserve">patient related elements such as premises. </w:t>
            </w:r>
            <w:r w:rsidR="004D13A3" w:rsidRPr="00954E04">
              <w:rPr>
                <w:rFonts w:cstheme="minorHAnsi"/>
              </w:rPr>
              <w:t>Finally,</w:t>
            </w:r>
            <w:r w:rsidR="006D24A0"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r w:rsidR="004D13A3" w:rsidRPr="00954E04">
              <w:rPr>
                <w:rFonts w:cstheme="minorHAnsi"/>
              </w:rPr>
              <w:t>patient-based</w:t>
            </w:r>
            <w:r w:rsidR="006D24A0"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30B70F85" w14:textId="77777777" w:rsidR="008224F7" w:rsidRDefault="008224F7" w:rsidP="006D24A0">
            <w:pPr>
              <w:jc w:val="both"/>
              <w:rPr>
                <w:rFonts w:cstheme="minorHAnsi"/>
                <w:b/>
              </w:rPr>
            </w:pPr>
          </w:p>
          <w:p w14:paraId="1A53D5D4" w14:textId="1D4CADC7" w:rsidR="006D24A0" w:rsidRPr="00703C18" w:rsidRDefault="006D24A0" w:rsidP="006D24A0">
            <w:pPr>
              <w:jc w:val="both"/>
              <w:rPr>
                <w:rFonts w:cstheme="minorHAnsi"/>
              </w:rPr>
            </w:pPr>
            <w:r w:rsidRPr="00954E04">
              <w:rPr>
                <w:rFonts w:cstheme="minorHAnsi"/>
                <w:b/>
              </w:rPr>
              <w:t>Processo</w:t>
            </w:r>
            <w:r w:rsidR="008224F7">
              <w:rPr>
                <w:rFonts w:cstheme="minorHAnsi"/>
                <w:b/>
              </w:rPr>
              <w:t>r</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14BF7C21" w:rsidR="006D24A0" w:rsidRPr="00954E04" w:rsidRDefault="008224F7" w:rsidP="006D24A0">
            <w:pPr>
              <w:rPr>
                <w:rFonts w:eastAsia="Calibri" w:cstheme="minorHAnsi"/>
                <w:bCs/>
              </w:rPr>
            </w:pPr>
            <w:r>
              <w:rPr>
                <w:rFonts w:eastAsia="Calibri" w:cstheme="minorHAnsi"/>
                <w:bCs/>
              </w:rPr>
              <w:t>GP Clinical System</w:t>
            </w:r>
          </w:p>
        </w:tc>
        <w:tc>
          <w:tcPr>
            <w:tcW w:w="6044" w:type="dxa"/>
          </w:tcPr>
          <w:p w14:paraId="1DD7016A" w14:textId="31C49833" w:rsidR="007D0434" w:rsidRDefault="006D24A0" w:rsidP="006D24A0">
            <w:pPr>
              <w:jc w:val="both"/>
              <w:rPr>
                <w:rFonts w:eastAsia="Calibri" w:cstheme="minorHAnsi"/>
                <w:b/>
                <w:bCs/>
              </w:rPr>
            </w:pPr>
            <w:r w:rsidRPr="00954E04">
              <w:rPr>
                <w:rFonts w:eastAsia="Calibri" w:cstheme="minorHAnsi"/>
                <w:b/>
                <w:bCs/>
              </w:rPr>
              <w:t xml:space="preserve">Purpose – </w:t>
            </w:r>
            <w:r w:rsidR="007D0434" w:rsidRPr="008224F7">
              <w:rPr>
                <w:rFonts w:eastAsia="Calibri" w:cstheme="minorHAnsi"/>
              </w:rPr>
              <w:t xml:space="preserve">NHS GP surgery </w:t>
            </w:r>
            <w:r w:rsidR="008224F7">
              <w:rPr>
                <w:rFonts w:eastAsia="Calibri" w:cstheme="minorHAnsi"/>
              </w:rPr>
              <w:t>clinical</w:t>
            </w:r>
            <w:r w:rsidR="007D0434" w:rsidRPr="008224F7">
              <w:rPr>
                <w:rFonts w:eastAsia="Calibri" w:cstheme="minorHAnsi"/>
              </w:rPr>
              <w:t xml:space="preserve"> systems are digital platforms, that manage patient info, allowing online access via the NHS App for appointments, prescriptions, and viewing records </w:t>
            </w:r>
            <w:r w:rsidR="007D0434" w:rsidRPr="008224F7">
              <w:rPr>
                <w:rFonts w:eastAsia="Calibri" w:cstheme="minorHAnsi"/>
              </w:rPr>
              <w:lastRenderedPageBreak/>
              <w:t>(allergies, medicines, results). These systems ensure data sharing between clinicians through GP Connect, improving care, with all practices mandated to provide online access to new record entries.</w:t>
            </w:r>
            <w:r w:rsidR="007D0434" w:rsidRPr="007D0434">
              <w:rPr>
                <w:rFonts w:eastAsia="Calibri" w:cstheme="minorHAnsi"/>
                <w:b/>
                <w:bCs/>
              </w:rPr>
              <w:t> </w:t>
            </w:r>
          </w:p>
          <w:p w14:paraId="1B847C1E" w14:textId="77777777" w:rsidR="007D0434" w:rsidRDefault="007D0434" w:rsidP="006D24A0">
            <w:pPr>
              <w:jc w:val="both"/>
              <w:rPr>
                <w:rFonts w:eastAsia="Calibri" w:cstheme="minorHAnsi"/>
                <w:b/>
                <w:bCs/>
              </w:rPr>
            </w:pPr>
          </w:p>
          <w:p w14:paraId="0367D227" w14:textId="5C5DF4C8" w:rsidR="006D24A0" w:rsidRDefault="006D24A0" w:rsidP="006D24A0">
            <w:pPr>
              <w:jc w:val="both"/>
              <w:rPr>
                <w:rFonts w:eastAsia="Calibri" w:cstheme="minorHAnsi"/>
                <w:bCs/>
              </w:rPr>
            </w:pP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22347100"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7C1E59">
              <w:rPr>
                <w:rFonts w:cstheme="minorHAnsi"/>
              </w:rPr>
              <w:t xml:space="preserve">EMIS, TPP </w:t>
            </w:r>
            <w:r w:rsidR="007C1E59" w:rsidRPr="007C1E59">
              <w:rPr>
                <w:rFonts w:cstheme="minorHAnsi"/>
              </w:rPr>
              <w:t xml:space="preserve">&amp; </w:t>
            </w:r>
            <w:r w:rsidRPr="007C1E59">
              <w:rPr>
                <w:rFonts w:cstheme="minorHAnsi"/>
              </w:rPr>
              <w:t>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370DAE8B" w14:textId="6559AA12"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7D0434">
              <w:rPr>
                <w:rFonts w:eastAsia="Calibri" w:cstheme="minorHAnsi"/>
                <w:bCs/>
              </w:rPr>
              <w:t xml:space="preserve"> 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1E7E41AC" w:rsidR="006D24A0" w:rsidRDefault="006D24A0" w:rsidP="006D24A0">
            <w:pPr>
              <w:jc w:val="both"/>
              <w:rPr>
                <w:rFonts w:eastAsia="Calibri" w:cstheme="minorHAnsi"/>
                <w:bCs/>
              </w:rPr>
            </w:pPr>
            <w:r>
              <w:rPr>
                <w:rFonts w:eastAsia="Calibri" w:cstheme="minorHAnsi"/>
                <w:bCs/>
              </w:rPr>
              <w:t>I</w:t>
            </w:r>
            <w:r w:rsidRPr="00954E04">
              <w:rPr>
                <w:rFonts w:eastAsia="Calibri" w:cstheme="minorHAnsi"/>
                <w:bCs/>
              </w:rPr>
              <w:t xml:space="preserve">nsurance companies seeking a </w:t>
            </w:r>
            <w:r w:rsidR="007D0434" w:rsidRPr="00954E04">
              <w:rPr>
                <w:rFonts w:eastAsia="Calibri" w:cstheme="minorHAnsi"/>
                <w:bCs/>
              </w:rPr>
              <w:t>medical report</w:t>
            </w:r>
            <w:r>
              <w:rPr>
                <w:rFonts w:eastAsia="Calibri" w:cstheme="minorHAnsi"/>
                <w:bCs/>
              </w:rPr>
              <w:t xml:space="preserve"> where you have applied for services offered by the</w:t>
            </w:r>
            <w:r w:rsidR="007C724C">
              <w:rPr>
                <w:rFonts w:eastAsia="Calibri" w:cstheme="minorHAnsi"/>
                <w:bCs/>
              </w:rPr>
              <w:t>m</w:t>
            </w:r>
            <w:r w:rsidR="007D0434">
              <w:rPr>
                <w:rFonts w:eastAsia="Calibri" w:cstheme="minorHAnsi"/>
                <w:bCs/>
              </w:rPr>
              <w:t>,</w:t>
            </w:r>
            <w:r w:rsidRPr="00954E04">
              <w:rPr>
                <w:rFonts w:eastAsia="Calibri" w:cstheme="minorHAnsi"/>
                <w:bCs/>
              </w:rPr>
              <w:t xml:space="preserve"> can have a </w:t>
            </w:r>
            <w:r w:rsidRPr="008224F7">
              <w:rPr>
                <w:rFonts w:eastAsia="Calibri" w:cstheme="minorHAnsi"/>
                <w:bCs/>
              </w:rPr>
              <w:t xml:space="preserve">copy </w:t>
            </w:r>
            <w:r w:rsidR="007D0434" w:rsidRPr="008224F7">
              <w:rPr>
                <w:rFonts w:eastAsia="Calibri" w:cstheme="minorHAnsi"/>
                <w:bCs/>
              </w:rPr>
              <w:t>of</w:t>
            </w:r>
            <w:r w:rsidRPr="008224F7">
              <w:rPr>
                <w:rFonts w:eastAsia="Calibri" w:cstheme="minorHAnsi"/>
                <w:bCs/>
              </w:rPr>
              <w:t xml:space="preserve"> your</w:t>
            </w:r>
            <w:r w:rsidRPr="00954E04">
              <w:rPr>
                <w:rFonts w:eastAsia="Calibri" w:cstheme="minorHAnsi"/>
                <w:bCs/>
              </w:rPr>
              <w:t xml:space="preserve">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7C9EF74"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r w:rsidR="007D0434">
              <w:rPr>
                <w:rFonts w:eastAsia="Calibri" w:cstheme="minorHAnsi"/>
              </w:rPr>
              <w:t xml:space="preserve"> </w:t>
            </w:r>
            <w:r w:rsidR="007D0434" w:rsidRPr="008224F7">
              <w:rPr>
                <w:rFonts w:eastAsia="Calibri" w:cstheme="minorHAnsi"/>
              </w:rPr>
              <w:t>iGPR</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05EED8A5" w14:textId="77777777" w:rsidR="007C1E59" w:rsidRPr="007C1E59" w:rsidRDefault="006D24A0" w:rsidP="007C1E59">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7C1E59">
              <w:rPr>
                <w:rFonts w:eastAsia="Calibri" w:cstheme="minorHAnsi"/>
                <w:bCs/>
              </w:rPr>
              <w:t xml:space="preserve">Brighton and Hove </w:t>
            </w:r>
            <w:r w:rsidR="007C1E59" w:rsidRPr="007C1E59">
              <w:rPr>
                <w:rFonts w:eastAsia="Calibri" w:cstheme="minorHAnsi"/>
                <w:bCs/>
              </w:rPr>
              <w:t>Medicines Management Team</w:t>
            </w:r>
          </w:p>
          <w:p w14:paraId="1BDCCFEA" w14:textId="36F9F5D4" w:rsidR="006D24A0" w:rsidRPr="00954E04" w:rsidRDefault="007C1E59" w:rsidP="007C1E59">
            <w:pPr>
              <w:jc w:val="both"/>
              <w:rPr>
                <w:rFonts w:eastAsia="Calibri" w:cstheme="minorHAnsi"/>
                <w:bCs/>
              </w:rPr>
            </w:pPr>
            <w:r w:rsidRPr="007C1E59">
              <w:rPr>
                <w:rFonts w:eastAsia="Calibri" w:cstheme="minorHAnsi"/>
                <w:bCs/>
              </w:rPr>
              <w:t>Medicines Optimisation</w:t>
            </w:r>
          </w:p>
        </w:tc>
      </w:tr>
      <w:tr w:rsidR="006D24A0" w:rsidRPr="00954E04" w14:paraId="3E2E9822" w14:textId="77777777" w:rsidTr="00AD412F">
        <w:tc>
          <w:tcPr>
            <w:tcW w:w="2972" w:type="dxa"/>
          </w:tcPr>
          <w:p w14:paraId="6C9475BF" w14:textId="77777777" w:rsidR="006D24A0" w:rsidRPr="007C1E59" w:rsidRDefault="006D24A0" w:rsidP="006D24A0">
            <w:pPr>
              <w:rPr>
                <w:rFonts w:eastAsia="Calibri" w:cstheme="minorHAnsi"/>
                <w:bCs/>
              </w:rPr>
            </w:pPr>
            <w:r w:rsidRPr="007C1E59">
              <w:rPr>
                <w:rFonts w:eastAsia="Calibri" w:cstheme="minorHAnsi"/>
                <w:bCs/>
              </w:rPr>
              <w:t xml:space="preserve">GP Federation </w:t>
            </w:r>
          </w:p>
          <w:p w14:paraId="49B98194" w14:textId="77777777" w:rsidR="006D24A0" w:rsidRPr="007C1E59" w:rsidRDefault="006D24A0" w:rsidP="006D24A0">
            <w:pPr>
              <w:rPr>
                <w:rFonts w:eastAsia="Calibri" w:cstheme="minorHAnsi"/>
                <w:bCs/>
              </w:rPr>
            </w:pPr>
            <w:r w:rsidRPr="007C1E59">
              <w:rPr>
                <w:rFonts w:eastAsia="Calibri" w:cstheme="minorHAnsi"/>
                <w:bCs/>
              </w:rPr>
              <w:t>GP Extended Access</w:t>
            </w:r>
          </w:p>
          <w:p w14:paraId="6CACD458" w14:textId="77777777" w:rsidR="006D24A0" w:rsidRPr="007C1E59" w:rsidRDefault="006D24A0" w:rsidP="006D24A0">
            <w:pPr>
              <w:rPr>
                <w:rFonts w:eastAsia="Calibri" w:cstheme="minorHAnsi"/>
                <w:bCs/>
              </w:rPr>
            </w:pPr>
            <w:r w:rsidRPr="007C1E59">
              <w:rPr>
                <w:rFonts w:eastAsia="Calibri" w:cstheme="minorHAnsi"/>
                <w:bCs/>
              </w:rPr>
              <w:t>Video consultations</w:t>
            </w:r>
          </w:p>
          <w:p w14:paraId="3D5B1C0B" w14:textId="77777777" w:rsidR="006D24A0" w:rsidRDefault="006D24A0" w:rsidP="006D24A0">
            <w:pPr>
              <w:rPr>
                <w:rFonts w:eastAsia="Calibri" w:cstheme="minorHAnsi"/>
                <w:bCs/>
              </w:rPr>
            </w:pPr>
            <w:r w:rsidRPr="007C1E59">
              <w:rPr>
                <w:rFonts w:eastAsia="Calibri" w:cstheme="minorHAnsi"/>
                <w:bCs/>
              </w:rPr>
              <w:lastRenderedPageBreak/>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6EEB72C7" w:rsidR="006D24A0" w:rsidRPr="00954E04" w:rsidRDefault="006D24A0" w:rsidP="006D24A0">
            <w:pPr>
              <w:jc w:val="both"/>
              <w:rPr>
                <w:rFonts w:eastAsia="Calibri" w:cstheme="minorHAnsi"/>
                <w:bCs/>
              </w:rPr>
            </w:pPr>
            <w:r w:rsidRPr="00954E04">
              <w:rPr>
                <w:rFonts w:eastAsia="Calibri" w:cstheme="minorHAnsi"/>
                <w:b/>
                <w:bCs/>
              </w:rPr>
              <w:lastRenderedPageBreak/>
              <w:t xml:space="preserve">Purpose – </w:t>
            </w:r>
            <w:r w:rsidRPr="00954E04">
              <w:rPr>
                <w:rFonts w:eastAsia="Calibri" w:cstheme="minorHAnsi"/>
                <w:bCs/>
              </w:rPr>
              <w:t xml:space="preserve">Your medical record will be shared with the </w:t>
            </w:r>
            <w:r w:rsidR="007C1E59">
              <w:rPr>
                <w:rFonts w:eastAsia="Calibri" w:cstheme="minorHAnsi"/>
                <w:bCs/>
              </w:rPr>
              <w:t xml:space="preserve">GP Federation </w:t>
            </w:r>
            <w:r w:rsidRPr="00954E04">
              <w:rPr>
                <w:rFonts w:eastAsia="Calibri" w:cstheme="minorHAnsi"/>
                <w:bCs/>
              </w:rPr>
              <w:t xml:space="preserve">in order that they can provide direct care services to the patient population. This could be in the form of video </w:t>
            </w:r>
            <w:r w:rsidRPr="00954E04">
              <w:rPr>
                <w:rFonts w:eastAsia="Calibri" w:cstheme="minorHAnsi"/>
                <w:bCs/>
              </w:rPr>
              <w:lastRenderedPageBreak/>
              <w:t>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60AEFA71" w14:textId="77777777" w:rsidR="006D24A0" w:rsidRDefault="006D24A0" w:rsidP="006D24A0">
            <w:pPr>
              <w:jc w:val="both"/>
              <w:rPr>
                <w:rFonts w:eastAsia="Calibri" w:cstheme="minorHAnsi"/>
                <w:bCs/>
              </w:rPr>
            </w:pPr>
            <w:r w:rsidRPr="007C1E59">
              <w:rPr>
                <w:rFonts w:eastAsia="Calibri" w:cstheme="minorHAnsi"/>
                <w:b/>
                <w:bCs/>
              </w:rPr>
              <w:t>Processor</w:t>
            </w:r>
            <w:r w:rsidRPr="007C1E59">
              <w:rPr>
                <w:rFonts w:eastAsia="Calibri" w:cstheme="minorHAnsi"/>
                <w:bCs/>
              </w:rPr>
              <w:t xml:space="preserve"> – </w:t>
            </w:r>
            <w:r w:rsidR="007C1E59" w:rsidRPr="007C1E59">
              <w:rPr>
                <w:rFonts w:eastAsia="Calibri" w:cstheme="minorHAnsi"/>
                <w:bCs/>
              </w:rPr>
              <w:t>Brighton and Hove GP F</w:t>
            </w:r>
            <w:r w:rsidRPr="007C1E59">
              <w:rPr>
                <w:rFonts w:eastAsia="Calibri" w:cstheme="minorHAnsi"/>
                <w:bCs/>
              </w:rPr>
              <w:t>ederation</w:t>
            </w:r>
          </w:p>
          <w:p w14:paraId="558DDB9A" w14:textId="6105D332" w:rsidR="007C1E59" w:rsidRPr="00954E04" w:rsidRDefault="007C1E59" w:rsidP="006D24A0">
            <w:pPr>
              <w:jc w:val="both"/>
              <w:rPr>
                <w:rFonts w:eastAsia="Calibri" w:cstheme="minorHAnsi"/>
                <w:b/>
                <w:bCs/>
              </w:rPr>
            </w:pPr>
          </w:p>
        </w:tc>
      </w:tr>
      <w:tr w:rsidR="006D24A0" w:rsidRPr="00954E04" w14:paraId="671BFDD3" w14:textId="77777777" w:rsidTr="00AD412F">
        <w:tc>
          <w:tcPr>
            <w:tcW w:w="2972" w:type="dxa"/>
          </w:tcPr>
          <w:p w14:paraId="327B74C2" w14:textId="09D486EB" w:rsidR="006D24A0" w:rsidRDefault="007C1E59" w:rsidP="006D24A0">
            <w:pPr>
              <w:rPr>
                <w:rFonts w:eastAsia="Calibri" w:cstheme="minorHAnsi"/>
                <w:bCs/>
              </w:rPr>
            </w:pPr>
            <w:r>
              <w:rPr>
                <w:rFonts w:eastAsia="Calibri" w:cstheme="minorHAnsi"/>
                <w:bCs/>
              </w:rPr>
              <w:lastRenderedPageBreak/>
              <w:t xml:space="preserve">East and Central </w:t>
            </w:r>
            <w:r w:rsidR="006D24A0" w:rsidRPr="00954E04">
              <w:rPr>
                <w:rFonts w:eastAsia="Calibri" w:cstheme="minorHAnsi"/>
                <w:bCs/>
              </w:rPr>
              <w:t>P</w:t>
            </w:r>
            <w:r w:rsidR="006D24A0">
              <w:rPr>
                <w:rFonts w:eastAsia="Calibri" w:cstheme="minorHAnsi"/>
                <w:bCs/>
              </w:rPr>
              <w:t xml:space="preserve">rimary </w:t>
            </w:r>
            <w:r w:rsidR="006D24A0" w:rsidRPr="00954E04">
              <w:rPr>
                <w:rFonts w:eastAsia="Calibri" w:cstheme="minorHAnsi"/>
                <w:bCs/>
              </w:rPr>
              <w:t>C</w:t>
            </w:r>
            <w:r w:rsidR="006D24A0">
              <w:rPr>
                <w:rFonts w:eastAsia="Calibri" w:cstheme="minorHAnsi"/>
                <w:bCs/>
              </w:rPr>
              <w:t xml:space="preserve">are </w:t>
            </w:r>
            <w:r w:rsidR="006D24A0" w:rsidRPr="00954E04">
              <w:rPr>
                <w:rFonts w:eastAsia="Calibri" w:cstheme="minorHAnsi"/>
                <w:bCs/>
              </w:rPr>
              <w:t>N</w:t>
            </w:r>
            <w:r w:rsidR="006D24A0">
              <w:rPr>
                <w:rFonts w:eastAsia="Calibri" w:cstheme="minorHAnsi"/>
                <w:bCs/>
              </w:rPr>
              <w:t xml:space="preserve">etwork (PCN) </w:t>
            </w:r>
          </w:p>
          <w:p w14:paraId="0955C082" w14:textId="77777777" w:rsidR="007C1E59" w:rsidRDefault="007C1E59" w:rsidP="006D24A0">
            <w:pPr>
              <w:rPr>
                <w:rFonts w:eastAsia="Calibri" w:cstheme="minorHAnsi"/>
                <w:bCs/>
              </w:rPr>
            </w:pPr>
            <w:r>
              <w:rPr>
                <w:rFonts w:eastAsia="Calibri" w:cstheme="minorHAnsi"/>
                <w:bCs/>
              </w:rPr>
              <w:t>Ardingly Court Surgery</w:t>
            </w:r>
          </w:p>
          <w:p w14:paraId="19D88FED" w14:textId="77777777" w:rsidR="007C1E59" w:rsidRDefault="007C1E59" w:rsidP="006D24A0">
            <w:pPr>
              <w:rPr>
                <w:rFonts w:eastAsia="Calibri" w:cstheme="minorHAnsi"/>
                <w:bCs/>
              </w:rPr>
            </w:pPr>
            <w:r>
              <w:rPr>
                <w:rFonts w:eastAsia="Calibri" w:cstheme="minorHAnsi"/>
                <w:bCs/>
              </w:rPr>
              <w:t>Arch Healthcare</w:t>
            </w:r>
          </w:p>
          <w:p w14:paraId="5D123306" w14:textId="1E3C57CE" w:rsidR="007C1E59" w:rsidRDefault="007C1E59" w:rsidP="006D24A0">
            <w:pPr>
              <w:rPr>
                <w:rFonts w:eastAsia="Calibri" w:cstheme="minorHAnsi"/>
                <w:bCs/>
              </w:rPr>
            </w:pPr>
            <w:r>
              <w:rPr>
                <w:rFonts w:eastAsia="Calibri" w:cstheme="minorHAnsi"/>
                <w:bCs/>
              </w:rPr>
              <w:t>Pavillion Surgery</w:t>
            </w:r>
          </w:p>
          <w:p w14:paraId="1F1B0AB7" w14:textId="4564E019" w:rsidR="007C1E59" w:rsidRDefault="007C1E59" w:rsidP="006D24A0">
            <w:pPr>
              <w:rPr>
                <w:rFonts w:eastAsia="Calibri" w:cstheme="minorHAnsi"/>
                <w:bCs/>
              </w:rPr>
            </w:pPr>
            <w:r>
              <w:rPr>
                <w:rFonts w:eastAsia="Calibri" w:cstheme="minorHAnsi"/>
                <w:bCs/>
              </w:rPr>
              <w:t>Regency Surgery</w:t>
            </w:r>
          </w:p>
          <w:p w14:paraId="7904BA1D" w14:textId="77777777" w:rsidR="007C1E59" w:rsidRDefault="007C1E59" w:rsidP="006D24A0">
            <w:pPr>
              <w:rPr>
                <w:rFonts w:eastAsia="Calibri" w:cstheme="minorHAnsi"/>
                <w:bCs/>
              </w:rPr>
            </w:pPr>
            <w:r>
              <w:rPr>
                <w:rFonts w:eastAsia="Calibri" w:cstheme="minorHAnsi"/>
                <w:bCs/>
              </w:rPr>
              <w:t>Broadway Surgery</w:t>
            </w:r>
          </w:p>
          <w:p w14:paraId="7C5587A9" w14:textId="2E905317" w:rsidR="007C1E59" w:rsidRDefault="007C1E59" w:rsidP="006D24A0">
            <w:pPr>
              <w:rPr>
                <w:rFonts w:eastAsia="Calibri" w:cstheme="minorHAnsi"/>
                <w:bCs/>
              </w:rPr>
            </w:pPr>
            <w:r>
              <w:rPr>
                <w:rFonts w:eastAsia="Calibri" w:cstheme="minorHAnsi"/>
                <w:bCs/>
              </w:rPr>
              <w:t>St Peters Medical Centre</w:t>
            </w:r>
          </w:p>
          <w:p w14:paraId="634DA8F1" w14:textId="47272CA6" w:rsidR="007C1E59" w:rsidRDefault="007C1E59" w:rsidP="006D24A0">
            <w:pPr>
              <w:rPr>
                <w:rFonts w:eastAsia="Calibri" w:cstheme="minorHAnsi"/>
                <w:bCs/>
              </w:rPr>
            </w:pPr>
            <w:r>
              <w:rPr>
                <w:rFonts w:eastAsia="Calibri" w:cstheme="minorHAnsi"/>
                <w:bCs/>
              </w:rPr>
              <w:t xml:space="preserve">Preston Park Surgery </w:t>
            </w:r>
          </w:p>
          <w:p w14:paraId="30D6C1A3" w14:textId="4F0517E7" w:rsidR="007C1E59" w:rsidRDefault="007C1E59" w:rsidP="006D24A0">
            <w:pPr>
              <w:rPr>
                <w:rFonts w:eastAsia="Calibri" w:cstheme="minorHAnsi"/>
                <w:bCs/>
              </w:rPr>
            </w:pPr>
            <w:r>
              <w:rPr>
                <w:rFonts w:eastAsia="Calibri" w:cstheme="minorHAnsi"/>
                <w:bCs/>
              </w:rPr>
              <w:t>Wellsbourne Health Centre</w:t>
            </w:r>
          </w:p>
          <w:p w14:paraId="1C8F2D7D" w14:textId="12D4B950" w:rsidR="007C1E59" w:rsidRPr="00954E04" w:rsidRDefault="007C1E59" w:rsidP="006D24A0">
            <w:pPr>
              <w:rPr>
                <w:rFonts w:eastAsia="Calibri" w:cstheme="minorHAnsi"/>
                <w:bCs/>
              </w:rPr>
            </w:pPr>
          </w:p>
        </w:tc>
        <w:tc>
          <w:tcPr>
            <w:tcW w:w="6044" w:type="dxa"/>
          </w:tcPr>
          <w:p w14:paraId="3BD0E5C8" w14:textId="457F5D11"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7C1E59">
              <w:rPr>
                <w:rFonts w:eastAsia="Calibri" w:cstheme="minorHAnsi"/>
                <w:bCs/>
              </w:rPr>
              <w:t xml:space="preserve">East and Central PCN </w:t>
            </w:r>
            <w:r w:rsidRPr="00954E04">
              <w:rPr>
                <w:rFonts w:eastAsia="Calibri" w:cstheme="minorHAnsi"/>
                <w:bCs/>
              </w:rPr>
              <w:t xml:space="preserve">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6DFA5A86"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7C1E59">
              <w:rPr>
                <w:rFonts w:eastAsia="Calibri" w:cstheme="minorHAnsi"/>
                <w:bCs/>
              </w:rPr>
              <w:t>East and Central PCN</w:t>
            </w:r>
          </w:p>
        </w:tc>
      </w:tr>
      <w:tr w:rsidR="006D24A0" w:rsidRPr="00954E04" w14:paraId="5EE019DE" w14:textId="77777777" w:rsidTr="00AD412F">
        <w:tc>
          <w:tcPr>
            <w:tcW w:w="2972" w:type="dxa"/>
          </w:tcPr>
          <w:p w14:paraId="37E57B0B" w14:textId="1906CCAC" w:rsidR="006D24A0" w:rsidRPr="00954E04" w:rsidRDefault="006D24A0" w:rsidP="006D24A0">
            <w:pPr>
              <w:rPr>
                <w:rFonts w:eastAsia="Calibri" w:cstheme="minorHAnsi"/>
                <w:bCs/>
              </w:rPr>
            </w:pPr>
            <w:r w:rsidRPr="00954E04">
              <w:rPr>
                <w:rFonts w:eastAsia="Calibri" w:cstheme="minorHAnsi"/>
                <w:bCs/>
              </w:rPr>
              <w:t>Smoking cessation</w:t>
            </w:r>
            <w:r w:rsidR="00D126BB">
              <w:rPr>
                <w:rFonts w:eastAsia="Calibri" w:cstheme="minorHAnsi"/>
                <w:bCs/>
              </w:rPr>
              <w:t xml:space="preserve"> via your chosen pharmacy or smoking cessation provider</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4D6823AA" w:rsidR="006D24A0" w:rsidRPr="00954E04" w:rsidRDefault="006D24A0" w:rsidP="006D24A0">
            <w:pPr>
              <w:jc w:val="both"/>
              <w:rPr>
                <w:rFonts w:eastAsia="Calibri" w:cstheme="minorHAnsi"/>
                <w:bCs/>
              </w:rPr>
            </w:pPr>
            <w:r w:rsidRPr="00954E04">
              <w:rPr>
                <w:rFonts w:eastAsia="Calibri" w:cstheme="minorHAnsi"/>
                <w:b/>
                <w:bCs/>
              </w:rPr>
              <w:t xml:space="preserve">Processor – </w:t>
            </w:r>
            <w:r w:rsidR="00D126BB" w:rsidRPr="00954E04">
              <w:rPr>
                <w:rFonts w:eastAsia="Calibri" w:cstheme="minorHAnsi"/>
                <w:bCs/>
              </w:rPr>
              <w:t>Smoking cessation</w:t>
            </w:r>
            <w:r w:rsidR="00D126BB">
              <w:rPr>
                <w:rFonts w:eastAsia="Calibri" w:cstheme="minorHAnsi"/>
                <w:bCs/>
              </w:rPr>
              <w:t xml:space="preserve"> via your chosen pharmacy or smoking cessation provider</w:t>
            </w:r>
          </w:p>
        </w:tc>
      </w:tr>
      <w:tr w:rsidR="006D24A0" w:rsidRPr="00954E04" w14:paraId="059A497D" w14:textId="77777777" w:rsidTr="00AD412F">
        <w:tc>
          <w:tcPr>
            <w:tcW w:w="2972" w:type="dxa"/>
          </w:tcPr>
          <w:p w14:paraId="564D3489" w14:textId="1791BBC6" w:rsidR="006D24A0" w:rsidRPr="00954E04" w:rsidRDefault="006D24A0" w:rsidP="006D24A0">
            <w:pPr>
              <w:rPr>
                <w:rFonts w:eastAsia="Calibri" w:cstheme="minorHAnsi"/>
                <w:bCs/>
              </w:rPr>
            </w:pPr>
            <w:r w:rsidRPr="00954E04">
              <w:rPr>
                <w:rFonts w:eastAsia="Calibri" w:cstheme="minorHAnsi"/>
                <w:bCs/>
              </w:rPr>
              <w:t>Social Prescribers</w:t>
            </w:r>
            <w:r w:rsidR="00D126BB">
              <w:rPr>
                <w:rFonts w:eastAsia="Calibri" w:cstheme="minorHAnsi"/>
                <w:bCs/>
              </w:rPr>
              <w:t xml:space="preserve"> employed by East and Central PCN</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079A93B6" w:rsidR="006D24A0" w:rsidRPr="00954E04" w:rsidRDefault="006D24A0" w:rsidP="006D24A0">
            <w:pPr>
              <w:rPr>
                <w:rFonts w:eastAsia="Calibri" w:cstheme="minorHAnsi"/>
                <w:b/>
                <w:bCs/>
              </w:rPr>
            </w:pPr>
            <w:r w:rsidRPr="00954E04">
              <w:rPr>
                <w:rFonts w:eastAsia="Calibri" w:cstheme="minorHAnsi"/>
                <w:b/>
                <w:bCs/>
              </w:rPr>
              <w:t xml:space="preserve">Processor - </w:t>
            </w:r>
            <w:r w:rsidR="00D126BB" w:rsidRPr="00954E04">
              <w:rPr>
                <w:rFonts w:eastAsia="Calibri" w:cstheme="minorHAnsi"/>
                <w:bCs/>
              </w:rPr>
              <w:t>Social Prescribers</w:t>
            </w:r>
            <w:r w:rsidR="00D126BB">
              <w:rPr>
                <w:rFonts w:eastAsia="Calibri" w:cstheme="minorHAnsi"/>
                <w:bCs/>
              </w:rPr>
              <w:t xml:space="preserve"> employed by East and Central PCN</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lastRenderedPageBreak/>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11691B85" w14:textId="77777777" w:rsidR="007466F7" w:rsidRDefault="007466F7" w:rsidP="006D24A0">
            <w:pPr>
              <w:jc w:val="both"/>
              <w:rPr>
                <w:rFonts w:eastAsia="Calibri" w:cstheme="minorHAnsi"/>
              </w:rPr>
            </w:pPr>
          </w:p>
          <w:p w14:paraId="0CD2A1F0" w14:textId="02B03101"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(e)</w:t>
            </w:r>
            <w:r w:rsidR="00C24BF0" w:rsidRPr="004D13A3">
              <w:rPr>
                <w:rFonts w:eastAsia="Calibri" w:cstheme="minorHAnsi"/>
              </w:rPr>
              <w:t xml:space="preserve"> </w:t>
            </w:r>
            <w:r w:rsidR="00C24BF0" w:rsidRPr="004D13A3">
              <w:rPr>
                <w:rFonts w:cstheme="minorHAnsi"/>
              </w:rPr>
              <w:t>‘…necessary for the performance of a task carried out in the public interest or in the exercise of official authority…’; and</w:t>
            </w:r>
          </w:p>
          <w:p w14:paraId="40860C1B" w14:textId="145BBABA"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(f)</w:t>
            </w:r>
            <w:r w:rsidR="006E4158" w:rsidRPr="004D13A3">
              <w:rPr>
                <w:rFonts w:eastAsia="Calibri" w:cstheme="minorHAnsi"/>
              </w:rPr>
              <w:t xml:space="preserve"> ‘necessary for the establishment, exercise or defence of legal claims or whenever courts are acting in their judicial capacity’</w:t>
            </w:r>
          </w:p>
          <w:p w14:paraId="32536556" w14:textId="0C5AB8F9" w:rsidR="006D24A0" w:rsidRDefault="007466F7" w:rsidP="004D13A3">
            <w:pPr>
              <w:pStyle w:val="ListParagraph"/>
              <w:numPr>
                <w:ilvl w:val="0"/>
                <w:numId w:val="17"/>
              </w:numPr>
              <w:jc w:val="both"/>
              <w:rPr>
                <w:rFonts w:eastAsia="Calibri" w:cstheme="minorHAnsi"/>
              </w:rPr>
            </w:pPr>
            <w:r w:rsidRPr="004D13A3">
              <w:rPr>
                <w:rFonts w:eastAsia="Calibri" w:cstheme="minorHAnsi"/>
              </w:rPr>
              <w:t>Article 9</w:t>
            </w:r>
            <w:r w:rsidR="006E4158" w:rsidRPr="004D13A3">
              <w:rPr>
                <w:rFonts w:eastAsia="Calibri" w:cstheme="minorHAnsi"/>
              </w:rPr>
              <w:t>(</w:t>
            </w:r>
            <w:r w:rsidRPr="004D13A3">
              <w:rPr>
                <w:rFonts w:eastAsia="Calibri" w:cstheme="minorHAnsi"/>
              </w:rPr>
              <w:t>2</w:t>
            </w:r>
            <w:r w:rsidR="006E4158" w:rsidRPr="004D13A3">
              <w:rPr>
                <w:rFonts w:eastAsia="Calibri" w:cstheme="minorHAnsi"/>
              </w:rPr>
              <w:t>)</w:t>
            </w:r>
            <w:r w:rsidRPr="004D13A3">
              <w:rPr>
                <w:rFonts w:eastAsia="Calibri" w:cstheme="minorHAnsi"/>
              </w:rPr>
              <w:t>(g</w:t>
            </w:r>
            <w:r w:rsidR="00C24BF0" w:rsidRPr="004D13A3">
              <w:rPr>
                <w:rFonts w:eastAsia="Calibri" w:cstheme="minorHAnsi"/>
              </w:rPr>
              <w:t>)</w:t>
            </w:r>
            <w:r w:rsidR="006E4158" w:rsidRPr="004D13A3">
              <w:rPr>
                <w:rFonts w:eastAsia="Calibri" w:cstheme="minorHAnsi"/>
              </w:rPr>
              <w:t xml:space="preserve"> </w:t>
            </w:r>
            <w:r w:rsidR="004D13A3" w:rsidRPr="004D13A3">
              <w:rPr>
                <w:rFonts w:eastAsia="Calibri" w:cstheme="minorHAnsi"/>
              </w:rPr>
              <w:t>‘necessary</w:t>
            </w:r>
            <w:r w:rsidR="006E4158" w:rsidRPr="004D13A3">
              <w:rPr>
                <w:rFonts w:eastAsia="Calibri" w:cstheme="minorHAnsi"/>
              </w:rPr>
              <w:t xml:space="preserve"> for reasons of substantial public interest’</w:t>
            </w:r>
          </w:p>
          <w:p w14:paraId="499D47AA" w14:textId="77777777" w:rsidR="004D13A3" w:rsidRPr="004D13A3" w:rsidRDefault="004D13A3" w:rsidP="004D13A3">
            <w:pPr>
              <w:pStyle w:val="ListParagraph"/>
              <w:numPr>
                <w:ilvl w:val="0"/>
                <w:numId w:val="17"/>
              </w:numPr>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tcPr>
          <w:p w14:paraId="3A544120" w14:textId="2B3BE2FF" w:rsidR="006D24A0" w:rsidRPr="00D44587" w:rsidRDefault="004D13A3" w:rsidP="006D24A0">
            <w:pPr>
              <w:rPr>
                <w:rFonts w:eastAsia="Calibri" w:cstheme="minorHAnsi"/>
                <w:bCs/>
                <w:highlight w:val="red"/>
              </w:rPr>
            </w:pPr>
            <w:r w:rsidRPr="004D13A3">
              <w:rPr>
                <w:b/>
                <w:bCs/>
              </w:rPr>
              <w:t>C</w:t>
            </w:r>
            <w:r w:rsidR="006D24A0" w:rsidRPr="004D13A3">
              <w:rPr>
                <w:b/>
                <w:bCs/>
              </w:rPr>
              <w:t>ommunity Medical Examiners</w:t>
            </w:r>
            <w:r w:rsidR="006D24A0">
              <w:rPr>
                <w:b/>
                <w:bCs/>
              </w:rPr>
              <w:t xml:space="preserve"> – </w:t>
            </w:r>
            <w:r w:rsidR="00D126BB" w:rsidRPr="00D126BB">
              <w:rPr>
                <w:b/>
                <w:bCs/>
              </w:rPr>
              <w:t>Sussex</w:t>
            </w:r>
          </w:p>
        </w:tc>
        <w:tc>
          <w:tcPr>
            <w:tcW w:w="6044" w:type="dxa"/>
          </w:tcPr>
          <w:p w14:paraId="78C9A046" w14:textId="0AE3509A"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t>
            </w:r>
            <w:r w:rsidR="00D126BB">
              <w:rPr>
                <w:color w:val="auto"/>
                <w:sz w:val="22"/>
                <w:szCs w:val="22"/>
                <w:lang w:eastAsia="en-US"/>
              </w:rPr>
              <w:t xml:space="preserve">Sussex </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29DDC261" w:rsidR="006D24A0" w:rsidRPr="008224F7" w:rsidRDefault="006D24A0" w:rsidP="008224F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D126BB">
              <w:t>Sussex</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4D13A3">
              <w:rPr>
                <w:rFonts w:eastAsia="Calibri" w:cstheme="minorHAnsi"/>
                <w:bCs/>
              </w:rPr>
              <w:lastRenderedPageBreak/>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4CF73A1D"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602805">
              <w:rPr>
                <w:rFonts w:eastAsia="Calibri" w:cstheme="minorHAnsi"/>
                <w:bCs/>
              </w:rPr>
              <w:t>Your chosen private provider</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4B6AD6ED"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r w:rsidR="004D13A3" w:rsidRPr="00954E04">
              <w:rPr>
                <w:rFonts w:eastAsia="Calibri" w:cstheme="minorHAnsi"/>
                <w:bCs/>
              </w:rPr>
              <w:t>patients’</w:t>
            </w:r>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7B052ABE" w:rsidR="006D24A0" w:rsidRPr="00954E04" w:rsidRDefault="006D24A0" w:rsidP="006D24A0">
            <w:pPr>
              <w:jc w:val="both"/>
              <w:rPr>
                <w:rFonts w:eastAsia="Calibri" w:cstheme="minorHAnsi"/>
                <w:b/>
                <w:bCs/>
              </w:rPr>
            </w:pPr>
            <w:r w:rsidRPr="00602805">
              <w:rPr>
                <w:rFonts w:eastAsia="Calibri" w:cstheme="minorHAnsi"/>
                <w:b/>
                <w:bCs/>
              </w:rPr>
              <w:t>Pr</w:t>
            </w:r>
            <w:r w:rsidR="008224F7" w:rsidRPr="00602805">
              <w:rPr>
                <w:rFonts w:eastAsia="Calibri" w:cstheme="minorHAnsi"/>
                <w:b/>
                <w:bCs/>
              </w:rPr>
              <w:t>ocessor</w:t>
            </w:r>
            <w:r w:rsidRPr="00602805">
              <w:rPr>
                <w:rFonts w:eastAsia="Calibri" w:cstheme="minorHAnsi"/>
                <w:b/>
                <w:bCs/>
              </w:rPr>
              <w:t xml:space="preserve"> - </w:t>
            </w:r>
            <w:r w:rsidRPr="00602805">
              <w:rPr>
                <w:rFonts w:eastAsia="Calibri" w:cstheme="minorHAnsi"/>
                <w:bCs/>
              </w:rPr>
              <w:t xml:space="preserve">AccuRX </w:t>
            </w:r>
            <w:r w:rsidR="00602805" w:rsidRPr="00602805">
              <w:rPr>
                <w:rFonts w:eastAsia="Calibri" w:cstheme="minorHAnsi"/>
                <w:bCs/>
              </w:rPr>
              <w:t xml:space="preserve"> &amp; </w:t>
            </w:r>
            <w:r w:rsidRPr="00602805">
              <w:rPr>
                <w:rFonts w:eastAsia="Calibri" w:cstheme="minorHAnsi"/>
                <w:bCs/>
              </w:rPr>
              <w:t>NHSAPP</w:t>
            </w:r>
            <w:r>
              <w:rPr>
                <w:rFonts w:eastAsia="Calibri" w:cstheme="minorHAnsi"/>
                <w:bCs/>
              </w:rPr>
              <w:t xml:space="preserve"> </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30AC77AF"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602805">
              <w:rPr>
                <w:rFonts w:eastAsia="Calibri" w:cstheme="minorHAnsi"/>
                <w:bCs/>
              </w:rPr>
              <w:t>AccuRX</w:t>
            </w:r>
          </w:p>
        </w:tc>
      </w:tr>
      <w:tr w:rsidR="006D24A0" w:rsidRPr="00954E04" w14:paraId="6087C51C" w14:textId="77777777" w:rsidTr="00AD412F">
        <w:tc>
          <w:tcPr>
            <w:tcW w:w="2972" w:type="dxa"/>
          </w:tcPr>
          <w:p w14:paraId="5E050EA2" w14:textId="77777777" w:rsidR="006D24A0" w:rsidRDefault="006D24A0" w:rsidP="006D24A0">
            <w:pPr>
              <w:rPr>
                <w:rFonts w:eastAsia="Calibri" w:cstheme="minorHAnsi"/>
                <w:bCs/>
              </w:rPr>
            </w:pPr>
            <w:r w:rsidRPr="00954E04">
              <w:rPr>
                <w:rFonts w:eastAsia="Calibri" w:cstheme="minorHAnsi"/>
                <w:bCs/>
              </w:rPr>
              <w:t>MDT meetings</w:t>
            </w:r>
          </w:p>
          <w:p w14:paraId="7AC309AF" w14:textId="77777777" w:rsidR="00602805" w:rsidRDefault="00602805" w:rsidP="006D24A0">
            <w:pPr>
              <w:rPr>
                <w:rFonts w:eastAsia="Calibri" w:cstheme="minorHAnsi"/>
                <w:bCs/>
              </w:rPr>
            </w:pPr>
          </w:p>
          <w:p w14:paraId="30611667" w14:textId="32E00244" w:rsidR="00602805" w:rsidRPr="00954E04" w:rsidRDefault="00602805" w:rsidP="006D24A0">
            <w:pPr>
              <w:rPr>
                <w:rFonts w:eastAsia="Calibri" w:cstheme="minorHAnsi"/>
                <w:bCs/>
              </w:rPr>
            </w:pPr>
            <w:r w:rsidRPr="00602805">
              <w:rPr>
                <w:rFonts w:eastAsia="Calibri" w:cstheme="minorHAnsi"/>
                <w:bCs/>
              </w:rPr>
              <w:t>Social services</w:t>
            </w:r>
            <w:r>
              <w:rPr>
                <w:rFonts w:eastAsia="Calibri" w:cstheme="minorHAnsi"/>
                <w:bCs/>
              </w:rPr>
              <w:t xml:space="preserve">, Primary Care Network Frailty Team &amp; </w:t>
            </w:r>
            <w:r w:rsidRPr="00602805">
              <w:rPr>
                <w:rFonts w:eastAsia="Calibri" w:cstheme="minorHAnsi"/>
                <w:bCs/>
              </w:rPr>
              <w:t>Sussex Community Trust coordinate</w:t>
            </w:r>
            <w:r>
              <w:rPr>
                <w:rFonts w:eastAsia="Calibri" w:cstheme="minorHAnsi"/>
                <w:bCs/>
              </w:rPr>
              <w:t xml:space="preserve">, there may be </w:t>
            </w:r>
            <w:r>
              <w:rPr>
                <w:rFonts w:eastAsia="Calibri" w:cstheme="minorHAnsi"/>
                <w:bCs/>
              </w:rPr>
              <w:lastRenderedPageBreak/>
              <w:t>other organisations providing care to patient.</w:t>
            </w:r>
          </w:p>
        </w:tc>
        <w:tc>
          <w:tcPr>
            <w:tcW w:w="6044" w:type="dxa"/>
          </w:tcPr>
          <w:p w14:paraId="17A54B61" w14:textId="61640094" w:rsidR="006D24A0" w:rsidRDefault="006D24A0" w:rsidP="006D24A0">
            <w:pPr>
              <w:pStyle w:val="NoSpacing"/>
              <w:jc w:val="both"/>
              <w:rPr>
                <w:rFonts w:cstheme="minorHAnsi"/>
                <w:shd w:val="clear" w:color="auto" w:fill="FFFFFF"/>
              </w:rPr>
            </w:pPr>
            <w:r w:rsidRPr="00954E04">
              <w:rPr>
                <w:rFonts w:eastAsia="Calibri" w:cstheme="minorHAnsi"/>
                <w:b/>
                <w:bCs/>
              </w:rPr>
              <w:lastRenderedPageBreak/>
              <w:t xml:space="preserve">Purpose </w:t>
            </w:r>
            <w:r w:rsidRPr="00954E04">
              <w:rPr>
                <w:rFonts w:eastAsia="Calibri" w:cstheme="minorHAnsi"/>
                <w:bCs/>
              </w:rPr>
              <w:t xml:space="preserve">– </w:t>
            </w:r>
            <w:r>
              <w:rPr>
                <w:rFonts w:cstheme="minorHAnsi"/>
                <w:shd w:val="clear" w:color="auto" w:fill="FFFFFF"/>
              </w:rPr>
              <w:t xml:space="preserve">For some </w:t>
            </w:r>
            <w:r w:rsidR="008224F7">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249A3250" w14:textId="77777777" w:rsidR="006D24A0" w:rsidRDefault="006D24A0" w:rsidP="006D24A0">
            <w:pPr>
              <w:jc w:val="both"/>
              <w:rPr>
                <w:rFonts w:eastAsia="Calibri" w:cstheme="minorHAnsi"/>
                <w:bCs/>
              </w:rPr>
            </w:pPr>
            <w:r w:rsidRPr="00954E04">
              <w:rPr>
                <w:rFonts w:eastAsia="Calibri" w:cstheme="minorHAnsi"/>
                <w:b/>
                <w:bCs/>
              </w:rPr>
              <w:t xml:space="preserve">Processor – </w:t>
            </w:r>
            <w:r w:rsidR="00602805" w:rsidRPr="00602805">
              <w:rPr>
                <w:rFonts w:eastAsia="Calibri" w:cstheme="minorHAnsi"/>
                <w:bCs/>
              </w:rPr>
              <w:t>Social services</w:t>
            </w:r>
            <w:r w:rsidR="00602805">
              <w:rPr>
                <w:rFonts w:eastAsia="Calibri" w:cstheme="minorHAnsi"/>
                <w:bCs/>
              </w:rPr>
              <w:t xml:space="preserve">, Primary Care Network Frailty Team &amp; </w:t>
            </w:r>
            <w:r w:rsidR="00602805" w:rsidRPr="00602805">
              <w:rPr>
                <w:rFonts w:eastAsia="Calibri" w:cstheme="minorHAnsi"/>
                <w:bCs/>
              </w:rPr>
              <w:t>Sussex Community Trust coordinate</w:t>
            </w:r>
            <w:r w:rsidR="00602805">
              <w:rPr>
                <w:rFonts w:eastAsia="Calibri" w:cstheme="minorHAnsi"/>
                <w:bCs/>
              </w:rPr>
              <w:t>, there may be other organisations providing care to patient.</w:t>
            </w:r>
          </w:p>
          <w:p w14:paraId="13BD4EE1" w14:textId="45165A28" w:rsidR="00602805" w:rsidRPr="00954E04" w:rsidRDefault="00602805" w:rsidP="006D24A0">
            <w:pPr>
              <w:jc w:val="both"/>
              <w:rPr>
                <w:rFonts w:eastAsia="Calibri" w:cstheme="minorHAnsi"/>
                <w:b/>
                <w:bCs/>
              </w:rPr>
            </w:pPr>
          </w:p>
        </w:tc>
      </w:tr>
      <w:tr w:rsidR="006D24A0" w:rsidRPr="00954E04" w14:paraId="08DB84DA" w14:textId="77777777" w:rsidTr="00AD412F">
        <w:tc>
          <w:tcPr>
            <w:tcW w:w="2972" w:type="dxa"/>
          </w:tcPr>
          <w:p w14:paraId="15D225F3" w14:textId="77777777" w:rsidR="006D24A0" w:rsidRPr="00954E04" w:rsidRDefault="006D24A0" w:rsidP="006D24A0">
            <w:r w:rsidRPr="00954E04">
              <w:lastRenderedPageBreak/>
              <w:t>General Practice Extraction Service (GPES)</w:t>
            </w:r>
          </w:p>
          <w:p w14:paraId="3A0693EC" w14:textId="54C14389" w:rsidR="006D24A0" w:rsidRPr="00954E04" w:rsidRDefault="006D24A0" w:rsidP="006D24A0">
            <w:pPr>
              <w:numPr>
                <w:ilvl w:val="0"/>
                <w:numId w:val="2"/>
              </w:numPr>
              <w:contextualSpacing/>
            </w:pPr>
            <w:r w:rsidRPr="00954E04">
              <w:t xml:space="preserve">At risk </w:t>
            </w:r>
            <w:r w:rsidR="004D13A3" w:rsidRPr="00954E04">
              <w:t>patients’</w:t>
            </w:r>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1EE8B6DB" w:rsidR="006D24A0" w:rsidRPr="00954E04" w:rsidRDefault="006D24A0" w:rsidP="006D24A0">
            <w:r w:rsidRPr="00954E04">
              <w:rPr>
                <w:b/>
                <w:bCs/>
              </w:rPr>
              <w:t>Purpose –</w:t>
            </w:r>
            <w:r w:rsidRPr="00954E04">
              <w:t xml:space="preserve"> </w:t>
            </w:r>
            <w:r w:rsidRPr="0053543D">
              <w:t xml:space="preserve">GP practices are required to provide data extraction of their </w:t>
            </w:r>
            <w:r w:rsidR="004D13A3" w:rsidRPr="0053543D">
              <w:t>patients’</w:t>
            </w:r>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w:t>
            </w:r>
            <w:r w:rsidR="004D13A3" w:rsidRPr="00954E04">
              <w:t>extraction;</w:t>
            </w:r>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6"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7"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4114EB" w:rsidRPr="00954E04" w14:paraId="4FB079D8" w14:textId="77777777" w:rsidTr="00BD3CD3">
        <w:trPr>
          <w:trHeight w:val="8354"/>
        </w:trPr>
        <w:tc>
          <w:tcPr>
            <w:tcW w:w="2972" w:type="dxa"/>
          </w:tcPr>
          <w:p w14:paraId="4BD97AAD" w14:textId="77777777" w:rsidR="004114EB" w:rsidRPr="004114EB" w:rsidRDefault="004114EB" w:rsidP="004114EB">
            <w:r w:rsidRPr="004114EB">
              <w:lastRenderedPageBreak/>
              <w:t>OpenSAFELY COVID-19 and Data Analytics Services</w:t>
            </w:r>
          </w:p>
          <w:p w14:paraId="6388973A" w14:textId="3683DC26" w:rsidR="004114EB" w:rsidRPr="00954E04" w:rsidRDefault="004114EB" w:rsidP="006D24A0"/>
        </w:tc>
        <w:tc>
          <w:tcPr>
            <w:tcW w:w="6044" w:type="dxa"/>
          </w:tcPr>
          <w:p w14:paraId="75BFE068" w14:textId="77777777" w:rsidR="004114EB" w:rsidRDefault="004114EB" w:rsidP="004114EB">
            <w:pPr>
              <w:rPr>
                <w:b/>
                <w:bCs/>
              </w:rPr>
            </w:pPr>
            <w:r>
              <w:rPr>
                <w:b/>
                <w:bCs/>
              </w:rPr>
              <w:t>Purpose</w:t>
            </w:r>
            <w:r w:rsidRPr="00954E04">
              <w:rPr>
                <w:b/>
                <w:bCs/>
              </w:rPr>
              <w:t xml:space="preserve">: </w:t>
            </w:r>
          </w:p>
          <w:p w14:paraId="3AA0EB02" w14:textId="1DA59E8A" w:rsidR="004114EB" w:rsidRPr="004114EB" w:rsidRDefault="004114EB" w:rsidP="004114EB">
            <w:r w:rsidRPr="004114EB">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74DCF3DC" w14:textId="77777777" w:rsidR="004114EB" w:rsidRPr="004114EB" w:rsidRDefault="004114EB" w:rsidP="004114EB"/>
          <w:p w14:paraId="4A646D37" w14:textId="77777777" w:rsidR="004114EB" w:rsidRPr="004114EB" w:rsidRDefault="004114EB" w:rsidP="004114EB">
            <w:r w:rsidRPr="004114EB">
              <w:t>Each GP practice remains the controller of its own GP patient data but is required to let approved users run queries on pseudonymised patient data. This means identifiers are removed and replaced with a pseudonym.</w:t>
            </w:r>
          </w:p>
          <w:p w14:paraId="14E5EE25" w14:textId="77777777" w:rsidR="004114EB" w:rsidRPr="004114EB" w:rsidRDefault="004114EB" w:rsidP="004114EB"/>
          <w:p w14:paraId="09BEA762" w14:textId="77777777" w:rsidR="004114EB" w:rsidRDefault="004114EB" w:rsidP="004114EB">
            <w:r w:rsidRPr="004114EB">
              <w:t>Only approved users are allowed to run these queries, and they will not be able to access information that directly or indirectly identifies individuals.</w:t>
            </w:r>
          </w:p>
          <w:p w14:paraId="3ABA5121" w14:textId="77777777" w:rsidR="004114EB" w:rsidRDefault="004114EB" w:rsidP="004114EB"/>
          <w:p w14:paraId="09D884F5" w14:textId="77777777" w:rsidR="004114EB" w:rsidRPr="007D0FB5" w:rsidRDefault="004114EB" w:rsidP="004114E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D6CB1AB" w14:textId="77777777" w:rsidR="004114EB" w:rsidRDefault="004114EB" w:rsidP="004114EB">
            <w:pPr>
              <w:spacing w:after="120" w:line="276" w:lineRule="auto"/>
            </w:pPr>
            <w:r>
              <w:t xml:space="preserve">UK GDPR – Article 6 basis: </w:t>
            </w:r>
          </w:p>
          <w:p w14:paraId="7DE8CBFA" w14:textId="77777777" w:rsidR="004114EB" w:rsidRDefault="004114EB" w:rsidP="004114EB">
            <w:pPr>
              <w:spacing w:after="120" w:line="276" w:lineRule="auto"/>
            </w:pPr>
            <w:r>
              <w:t xml:space="preserve">UK GDPR Article 6(1)(c) - processing is necessary for compliance with a legal obligation to which the controller is subject (the Directions). </w:t>
            </w:r>
          </w:p>
          <w:p w14:paraId="66E63486" w14:textId="77777777" w:rsidR="004114EB" w:rsidRDefault="004114EB" w:rsidP="004114EB">
            <w:pPr>
              <w:spacing w:after="120" w:line="276" w:lineRule="auto"/>
            </w:pPr>
            <w:r>
              <w:t xml:space="preserve">UK GDPR Article 9 basis: </w:t>
            </w:r>
          </w:p>
          <w:p w14:paraId="2879D884" w14:textId="77777777" w:rsidR="004114EB" w:rsidRDefault="004114EB" w:rsidP="004114EB">
            <w:pPr>
              <w:spacing w:after="120" w:line="276" w:lineRule="auto"/>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0886B51E" w14:textId="77777777" w:rsidR="004114EB" w:rsidRPr="004114EB" w:rsidRDefault="004114EB" w:rsidP="004114EB"/>
          <w:p w14:paraId="72280A41" w14:textId="77777777" w:rsidR="004114EB" w:rsidRPr="004114EB" w:rsidRDefault="004114EB" w:rsidP="004114EB">
            <w:r w:rsidRPr="004114EB">
              <w:t>Patients who do not wish for their data to be used as part of this process can register a </w:t>
            </w:r>
            <w:hyperlink r:id="rId18" w:history="1">
              <w:r w:rsidRPr="004114EB">
                <w:rPr>
                  <w:rStyle w:val="Hyperlink"/>
                </w:rPr>
                <w:t>type 1 opt out</w:t>
              </w:r>
            </w:hyperlink>
            <w:r w:rsidRPr="004114EB">
              <w:t> with their GP.</w:t>
            </w:r>
          </w:p>
          <w:p w14:paraId="6C583163" w14:textId="77777777" w:rsidR="004114EB" w:rsidRDefault="004114EB" w:rsidP="004114EB">
            <w:pPr>
              <w:rPr>
                <w:rFonts w:eastAsia="Calibri" w:cstheme="minorHAnsi"/>
                <w:b/>
                <w:bCs/>
              </w:rPr>
            </w:pPr>
            <w:r w:rsidRPr="004114EB">
              <w:t>Here you can find </w:t>
            </w:r>
            <w:hyperlink r:id="rId19" w:history="1">
              <w:r w:rsidRPr="004114EB">
                <w:rPr>
                  <w:rStyle w:val="Hyperlink"/>
                </w:rPr>
                <w:t>additional information about OpenSAFELY</w:t>
              </w:r>
            </w:hyperlink>
            <w:r w:rsidRPr="004114EB">
              <w:t>."</w:t>
            </w:r>
            <w:r w:rsidRPr="00954E04">
              <w:rPr>
                <w:rFonts w:eastAsia="Calibri" w:cstheme="minorHAnsi"/>
                <w:b/>
                <w:bCs/>
              </w:rPr>
              <w:t xml:space="preserve"> </w:t>
            </w:r>
          </w:p>
          <w:p w14:paraId="4FADB055" w14:textId="77777777" w:rsidR="004114EB" w:rsidRDefault="004114EB" w:rsidP="004114EB">
            <w:pPr>
              <w:rPr>
                <w:rFonts w:eastAsia="Calibri" w:cstheme="minorHAnsi"/>
                <w:b/>
                <w:bCs/>
              </w:rPr>
            </w:pPr>
          </w:p>
          <w:p w14:paraId="0034864D" w14:textId="77777777" w:rsidR="004114EB" w:rsidRDefault="004114EB" w:rsidP="004D13A3">
            <w:pPr>
              <w:pBdr>
                <w:top w:val="nil"/>
                <w:left w:val="nil"/>
                <w:bottom w:val="nil"/>
                <w:right w:val="nil"/>
                <w:between w:val="nil"/>
              </w:pBdr>
            </w:pPr>
            <w:r>
              <w:rPr>
                <w:rFonts w:eastAsia="Calibri" w:cstheme="minorHAnsi"/>
                <w:b/>
                <w:bCs/>
              </w:rPr>
              <w:t>P</w:t>
            </w:r>
            <w:r w:rsidRPr="00954E04">
              <w:rPr>
                <w:rFonts w:eastAsia="Calibri" w:cstheme="minorHAnsi"/>
                <w:b/>
                <w:bCs/>
              </w:rPr>
              <w:t>rocessor</w:t>
            </w:r>
            <w:r>
              <w:rPr>
                <w:rFonts w:eastAsia="Calibri" w:cstheme="minorHAnsi"/>
                <w:b/>
                <w:bCs/>
              </w:rPr>
              <w:t xml:space="preserve">: </w:t>
            </w:r>
            <w:r w:rsidRPr="004114EB">
              <w:t>NHS England</w:t>
            </w:r>
            <w:r w:rsidR="00A27763">
              <w:t xml:space="preserve">, </w:t>
            </w:r>
            <w:r w:rsidRPr="00602805">
              <w:t>The Phoenix Partnership (TPP)</w:t>
            </w:r>
            <w:r w:rsidR="00A27763" w:rsidRPr="00602805">
              <w:t xml:space="preserve">, </w:t>
            </w:r>
            <w:r w:rsidRPr="00602805">
              <w:t>EMIS</w:t>
            </w:r>
          </w:p>
          <w:p w14:paraId="0A1E83BC" w14:textId="4412465E" w:rsidR="00602805" w:rsidRPr="004D13A3" w:rsidRDefault="00602805" w:rsidP="004D13A3">
            <w:pPr>
              <w:pBdr>
                <w:top w:val="nil"/>
                <w:left w:val="nil"/>
                <w:bottom w:val="nil"/>
                <w:right w:val="nil"/>
                <w:between w:val="nil"/>
              </w:pBdr>
              <w:rPr>
                <w:rFonts w:eastAsia="Calibri" w:cstheme="minorHAnsi"/>
                <w:b/>
                <w:bCs/>
              </w:rPr>
            </w:pPr>
          </w:p>
        </w:tc>
      </w:tr>
      <w:tr w:rsidR="006D24A0" w:rsidRPr="00954E04" w14:paraId="35FAD892" w14:textId="77777777" w:rsidTr="00AD412F">
        <w:tc>
          <w:tcPr>
            <w:tcW w:w="2972" w:type="dxa"/>
          </w:tcPr>
          <w:p w14:paraId="68845178" w14:textId="77777777" w:rsidR="006D24A0" w:rsidRPr="00954E04" w:rsidRDefault="006D24A0" w:rsidP="006D24A0">
            <w:r w:rsidRPr="00954E04">
              <w:t>Medication/Prescribing</w:t>
            </w:r>
          </w:p>
        </w:tc>
        <w:tc>
          <w:tcPr>
            <w:tcW w:w="6044" w:type="dxa"/>
          </w:tcPr>
          <w:p w14:paraId="34421947" w14:textId="19FCFB59" w:rsidR="005D2814" w:rsidRDefault="006D24A0" w:rsidP="006D24A0">
            <w:pPr>
              <w:rPr>
                <w:b/>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w:t>
            </w:r>
            <w:r w:rsidR="004D13A3" w:rsidRPr="00954E04">
              <w:rPr>
                <w:bCs/>
              </w:rPr>
              <w:t>face-to-face</w:t>
            </w:r>
            <w:r w:rsidRPr="00954E04">
              <w:rPr>
                <w:bCs/>
              </w:rPr>
              <w:t xml:space="preserve"> contact with the patient or electronically.</w:t>
            </w:r>
            <w:r w:rsidRPr="00954E04">
              <w:rPr>
                <w:b/>
                <w:bCs/>
              </w:rPr>
              <w:t xml:space="preserve"> </w:t>
            </w:r>
          </w:p>
          <w:p w14:paraId="687F7A93" w14:textId="77777777" w:rsidR="005D2814" w:rsidRDefault="005D2814" w:rsidP="006D24A0">
            <w:pPr>
              <w:rPr>
                <w:b/>
                <w:bCs/>
              </w:rPr>
            </w:pPr>
          </w:p>
          <w:p w14:paraId="3736643A" w14:textId="66D084B1" w:rsidR="006D24A0" w:rsidRPr="00954E04" w:rsidRDefault="006D24A0" w:rsidP="006D24A0">
            <w:pPr>
              <w:rPr>
                <w:bCs/>
              </w:rPr>
            </w:pP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 xml:space="preserve">have specified a nominated </w:t>
            </w:r>
            <w:r w:rsidRPr="00954E04">
              <w:rPr>
                <w:bCs/>
              </w:rPr>
              <w:lastRenderedPageBreak/>
              <w:t>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602805">
              <w:lastRenderedPageBreak/>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72DB3257" w14:textId="77777777" w:rsidR="006D24A0" w:rsidRDefault="006D24A0" w:rsidP="006D24A0">
            <w:pPr>
              <w:rPr>
                <w:bCs/>
              </w:rPr>
            </w:pPr>
            <w:r w:rsidRPr="00760EF7">
              <w:rPr>
                <w:b/>
                <w:bCs/>
              </w:rPr>
              <w:t>Processor</w:t>
            </w:r>
            <w:r w:rsidRPr="00760EF7">
              <w:rPr>
                <w:bCs/>
              </w:rPr>
              <w:t xml:space="preserve"> </w:t>
            </w:r>
            <w:r w:rsidRPr="00602805">
              <w:rPr>
                <w:bCs/>
              </w:rPr>
              <w:t>– RCGP, HEE, iConnect, Fourteen Fish</w:t>
            </w:r>
          </w:p>
          <w:p w14:paraId="13FFED0F" w14:textId="77777777" w:rsidR="00602805" w:rsidRPr="00703C18" w:rsidRDefault="00602805" w:rsidP="006D24A0">
            <w:pPr>
              <w:rPr>
                <w:bCs/>
              </w:rPr>
            </w:pPr>
          </w:p>
        </w:tc>
      </w:tr>
      <w:tr w:rsidR="006D24A0" w:rsidRPr="00954E04" w14:paraId="246CB3E6" w14:textId="77777777" w:rsidTr="00BD3CD3">
        <w:trPr>
          <w:trHeight w:val="1125"/>
        </w:trPr>
        <w:tc>
          <w:tcPr>
            <w:tcW w:w="2972" w:type="dxa"/>
          </w:tcPr>
          <w:p w14:paraId="247F2637" w14:textId="77777777" w:rsidR="006D24A0" w:rsidRPr="00760EF7" w:rsidRDefault="006D24A0" w:rsidP="006D24A0">
            <w:r w:rsidRPr="00602805">
              <w:t>Telephony</w:t>
            </w:r>
          </w:p>
        </w:tc>
        <w:tc>
          <w:tcPr>
            <w:tcW w:w="6044" w:type="dxa"/>
          </w:tcPr>
          <w:p w14:paraId="434D3227" w14:textId="5E272DAA" w:rsidR="001D52B4" w:rsidRPr="00602805" w:rsidRDefault="006D24A0" w:rsidP="001D52B4">
            <w:pPr>
              <w:spacing w:after="200" w:line="276" w:lineRule="auto"/>
              <w:rPr>
                <w:color w:val="000000" w:themeColor="text1"/>
              </w:rPr>
            </w:pPr>
            <w:r w:rsidRPr="00760EF7">
              <w:rPr>
                <w:b/>
                <w:bCs/>
              </w:rPr>
              <w:t xml:space="preserve">Purpose – </w:t>
            </w:r>
            <w:r w:rsidRPr="00760EF7">
              <w:rPr>
                <w:bCs/>
              </w:rPr>
              <w:t xml:space="preserve">The practice </w:t>
            </w:r>
            <w:r w:rsidR="004D13A3" w:rsidRPr="00760EF7">
              <w:rPr>
                <w:bCs/>
              </w:rPr>
              <w:t>uses</w:t>
            </w:r>
            <w:r w:rsidRPr="00760EF7">
              <w:rPr>
                <w:bCs/>
              </w:rPr>
              <w:t xml:space="preserve"> an</w:t>
            </w:r>
            <w:r w:rsidR="004D13A3">
              <w:rPr>
                <w:bCs/>
              </w:rPr>
              <w:t xml:space="preserve"> </w:t>
            </w:r>
            <w:r w:rsidR="004D13A3" w:rsidRPr="00760EF7">
              <w:rPr>
                <w:bCs/>
              </w:rPr>
              <w:t>internet-based</w:t>
            </w:r>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6215A8">
              <w:rPr>
                <w:bCs/>
              </w:rPr>
              <w:t xml:space="preserve">  </w:t>
            </w:r>
            <w:bookmarkStart w:id="0" w:name="_Hlk159313642"/>
            <w:r w:rsidR="001D52B4" w:rsidRPr="00602805">
              <w:rPr>
                <w:color w:val="000000" w:themeColor="text1"/>
              </w:rPr>
              <w:t>We record incoming and outgoing calls.</w:t>
            </w:r>
          </w:p>
          <w:p w14:paraId="0389E3BB" w14:textId="77777777" w:rsidR="001D52B4" w:rsidRPr="007F7368" w:rsidRDefault="001D52B4" w:rsidP="001D52B4">
            <w:pPr>
              <w:pStyle w:val="xxmsonormal"/>
              <w:rPr>
                <w:color w:val="000000" w:themeColor="text1"/>
              </w:rPr>
            </w:pPr>
            <w:r w:rsidRPr="00602805">
              <w:rPr>
                <w:color w:val="000000" w:themeColor="text1"/>
              </w:rPr>
              <w:t>Our phone system is set to automatically retain calls for 30 days. After this point, the recordings are automatically deleted. The 30-day retention period enables us to download and retain exact and unaltered copies of calls where required</w:t>
            </w:r>
            <w:r w:rsidRPr="007F7368">
              <w:rPr>
                <w:color w:val="000000" w:themeColor="text1"/>
              </w:rPr>
              <w:t xml:space="preserve"> for medico-legal purposes. </w:t>
            </w:r>
          </w:p>
          <w:bookmarkEnd w:id="0"/>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7466E11" w14:textId="77777777" w:rsidR="006D24A0" w:rsidRDefault="006D24A0" w:rsidP="006D24A0">
            <w:pPr>
              <w:rPr>
                <w:bCs/>
              </w:rPr>
            </w:pPr>
            <w:r w:rsidRPr="00602805">
              <w:rPr>
                <w:b/>
                <w:bCs/>
              </w:rPr>
              <w:t>Provider –</w:t>
            </w:r>
            <w:r w:rsidR="00602805" w:rsidRPr="00602805">
              <w:rPr>
                <w:bCs/>
              </w:rPr>
              <w:t xml:space="preserve">Think Health Care (Focus) </w:t>
            </w:r>
            <w:r w:rsidRPr="00602805">
              <w:rPr>
                <w:bCs/>
              </w:rPr>
              <w:t>Gamma Horizon</w:t>
            </w:r>
            <w:r w:rsidR="00602805" w:rsidRPr="00602805">
              <w:rPr>
                <w:bCs/>
              </w:rPr>
              <w:t xml:space="preserve"> platform</w:t>
            </w:r>
          </w:p>
          <w:p w14:paraId="7FDEE10D" w14:textId="3972DE73" w:rsidR="00602805" w:rsidRPr="00760EF7" w:rsidRDefault="00602805" w:rsidP="006D24A0">
            <w:pPr>
              <w:rPr>
                <w:bCs/>
              </w:rPr>
            </w:pPr>
          </w:p>
        </w:tc>
      </w:tr>
      <w:tr w:rsidR="006D24A0" w:rsidRPr="00954E04" w14:paraId="0342850A" w14:textId="77777777" w:rsidTr="00AD412F">
        <w:tc>
          <w:tcPr>
            <w:tcW w:w="2972" w:type="dxa"/>
          </w:tcPr>
          <w:p w14:paraId="793E41E9" w14:textId="77777777" w:rsidR="006D24A0" w:rsidRPr="00602805" w:rsidRDefault="006D24A0" w:rsidP="006D24A0">
            <w:r w:rsidRPr="00602805">
              <w:lastRenderedPageBreak/>
              <w:t>Learning Disability Mortality Programme</w:t>
            </w:r>
          </w:p>
          <w:p w14:paraId="64739329" w14:textId="67B86112" w:rsidR="006D24A0" w:rsidRPr="00954E04" w:rsidRDefault="006D24A0" w:rsidP="006D24A0">
            <w:r w:rsidRPr="00602805">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75FA55C2" w14:textId="77777777" w:rsidR="006D24A0" w:rsidRDefault="004D13A3" w:rsidP="006D24A0">
            <w:pPr>
              <w:rPr>
                <w:b/>
                <w:bCs/>
              </w:rPr>
            </w:pPr>
            <w:r w:rsidRPr="00954E04">
              <w:rPr>
                <w:b/>
                <w:bCs/>
              </w:rPr>
              <w:t>Processor:</w:t>
            </w:r>
            <w:r w:rsidR="006D24A0">
              <w:rPr>
                <w:b/>
                <w:bCs/>
              </w:rPr>
              <w:t xml:space="preserve"> ICB, NHS England</w:t>
            </w:r>
          </w:p>
          <w:p w14:paraId="64253A82" w14:textId="1B128064" w:rsidR="00602805" w:rsidRPr="00954E04" w:rsidRDefault="00602805" w:rsidP="006D24A0">
            <w:pPr>
              <w:rPr>
                <w:b/>
                <w:bCs/>
              </w:rPr>
            </w:pPr>
          </w:p>
        </w:tc>
      </w:tr>
      <w:tr w:rsidR="00E42C7D" w:rsidRPr="00954E04" w14:paraId="24C66572" w14:textId="77777777" w:rsidTr="00B65A5D">
        <w:tc>
          <w:tcPr>
            <w:tcW w:w="2972" w:type="dxa"/>
          </w:tcPr>
          <w:p w14:paraId="0318F1C5" w14:textId="77777777" w:rsidR="00E42C7D" w:rsidRPr="00767AE0" w:rsidRDefault="00E42C7D" w:rsidP="00B65A5D">
            <w:pPr>
              <w:rPr>
                <w:highlight w:val="yellow"/>
              </w:rPr>
            </w:pPr>
            <w:bookmarkStart w:id="1" w:name="_Hlk78289214"/>
            <w:r>
              <w:t>GP Connect</w:t>
            </w:r>
          </w:p>
        </w:tc>
        <w:tc>
          <w:tcPr>
            <w:tcW w:w="6044" w:type="dxa"/>
          </w:tcPr>
          <w:p w14:paraId="6EFFB9AD" w14:textId="77777777" w:rsidR="00E42C7D" w:rsidRDefault="00E42C7D" w:rsidP="00B65A5D">
            <w:r>
              <w:rPr>
                <w:b/>
              </w:rPr>
              <w:t xml:space="preserve">Purpose: </w:t>
            </w:r>
            <w:r>
              <w:rPr>
                <w:bCs/>
              </w:rPr>
              <w:t>In order for the practice to have access to a shared record, the Integrated Care Service has commissioned a number of systems including</w:t>
            </w:r>
            <w:r>
              <w:t xml:space="preserve"> </w:t>
            </w:r>
            <w:r w:rsidRPr="0011240C">
              <w:rPr>
                <w:b/>
                <w:bCs/>
              </w:rPr>
              <w:t>GP Connect</w:t>
            </w:r>
            <w:r>
              <w:rPr>
                <w:bCs/>
              </w:rPr>
              <w:t xml:space="preserve">, which is managed by NHS England. </w:t>
            </w:r>
            <w:hyperlink r:id="rId20" w:history="1">
              <w:r w:rsidRPr="00061E72">
                <w:rPr>
                  <w:rStyle w:val="Hyperlink"/>
                </w:rPr>
                <w:t>GP Connect - NHS England Digital</w:t>
              </w:r>
            </w:hyperlink>
          </w:p>
          <w:p w14:paraId="63831B02" w14:textId="77777777" w:rsidR="00E42C7D" w:rsidRDefault="00E42C7D" w:rsidP="00B65A5D">
            <w:pPr>
              <w:rPr>
                <w:bCs/>
              </w:rPr>
            </w:pPr>
          </w:p>
          <w:p w14:paraId="37B0018E" w14:textId="77777777" w:rsidR="00E42C7D" w:rsidRPr="00BE3187" w:rsidRDefault="00E42C7D" w:rsidP="00B65A5D">
            <w:pPr>
              <w:rPr>
                <w:bCs/>
              </w:rPr>
            </w:pPr>
            <w:r>
              <w:rPr>
                <w:bCs/>
              </w:rPr>
              <w:t xml:space="preserve"> </w:t>
            </w:r>
            <w:r w:rsidRPr="00BE3187">
              <w:rPr>
                <w:bCs/>
              </w:rPr>
              <w:t>GP Connect makes patient information available to all appropriate clinicians when and where they need it, to support direct patients care, leading to improvements in both care and outcomes.</w:t>
            </w:r>
          </w:p>
          <w:p w14:paraId="763878A7" w14:textId="77777777" w:rsidR="00E42C7D" w:rsidRPr="00BE3187" w:rsidRDefault="00E42C7D" w:rsidP="00B65A5D">
            <w:pPr>
              <w:rPr>
                <w:bCs/>
              </w:rPr>
            </w:pPr>
          </w:p>
          <w:p w14:paraId="6F79973A" w14:textId="77777777" w:rsidR="00E42C7D" w:rsidRPr="00BE3187" w:rsidRDefault="00E42C7D" w:rsidP="00B65A5D">
            <w:pPr>
              <w:rPr>
                <w:bCs/>
              </w:rPr>
            </w:pPr>
            <w:r w:rsidRPr="00BE3187">
              <w:rPr>
                <w:bCs/>
              </w:rPr>
              <w:t>GP Connect is not used for any purpose other than direct care.</w:t>
            </w:r>
          </w:p>
          <w:p w14:paraId="26AB6FF4" w14:textId="77777777" w:rsidR="00E42C7D" w:rsidRPr="00BE3187" w:rsidRDefault="00E42C7D" w:rsidP="00B65A5D">
            <w:pPr>
              <w:rPr>
                <w:bCs/>
              </w:rPr>
            </w:pPr>
          </w:p>
          <w:p w14:paraId="19F29C10" w14:textId="77777777" w:rsidR="00E42C7D" w:rsidRDefault="00E42C7D" w:rsidP="00B65A5D">
            <w:pPr>
              <w:rPr>
                <w:bCs/>
              </w:rPr>
            </w:pPr>
            <w:r w:rsidRPr="00BE3187">
              <w:rPr>
                <w:bCs/>
              </w:rPr>
              <w:t>GP Connect provides a method of secure information transfer and reduces the need to use less secure or less efficient methods of transferring information, such as email or telephone.</w:t>
            </w:r>
            <w:r w:rsidRPr="00C57627">
              <w:rPr>
                <w:bCs/>
              </w:rPr>
              <w:t xml:space="preserve">  </w:t>
            </w:r>
          </w:p>
          <w:p w14:paraId="0B59E30A" w14:textId="77777777" w:rsidR="00E42C7D" w:rsidRDefault="00E42C7D" w:rsidP="00B65A5D">
            <w:pPr>
              <w:spacing w:line="259" w:lineRule="auto"/>
            </w:pPr>
          </w:p>
          <w:p w14:paraId="1267A637" w14:textId="77777777" w:rsidR="00E42C7D" w:rsidRPr="0011240C" w:rsidRDefault="00E42C7D" w:rsidP="00B65A5D">
            <w:pPr>
              <w:spacing w:line="259" w:lineRule="auto"/>
            </w:pPr>
            <w:hyperlink r:id="rId21" w:history="1">
              <w:r w:rsidRPr="00130790">
                <w:rPr>
                  <w:rStyle w:val="Hyperlink"/>
                </w:rPr>
                <w:t>GP Connect transparency notice - NHS England Digital</w:t>
              </w:r>
            </w:hyperlink>
          </w:p>
          <w:p w14:paraId="2D604C92" w14:textId="77777777" w:rsidR="00E42C7D" w:rsidRDefault="00E42C7D" w:rsidP="00B65A5D">
            <w:pPr>
              <w:rPr>
                <w:b/>
              </w:rPr>
            </w:pPr>
          </w:p>
          <w:p w14:paraId="6266468B" w14:textId="77777777" w:rsidR="00E42C7D" w:rsidRPr="007D0FB5" w:rsidRDefault="00E42C7D" w:rsidP="00B65A5D">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8AD239B" w14:textId="77777777" w:rsidR="00E42C7D" w:rsidRPr="007D0FB5" w:rsidRDefault="00E42C7D" w:rsidP="00B65A5D">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3BB45E" w14:textId="77777777" w:rsidR="00E42C7D" w:rsidRPr="007D0FB5" w:rsidRDefault="00E42C7D" w:rsidP="00B65A5D">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8369CC" w14:textId="77777777" w:rsidR="00E42C7D" w:rsidRDefault="00E42C7D" w:rsidP="00B65A5D">
            <w:pPr>
              <w:rPr>
                <w:b/>
              </w:rPr>
            </w:pPr>
          </w:p>
          <w:p w14:paraId="627E5D19" w14:textId="77777777" w:rsidR="00E42C7D" w:rsidRPr="00954E04" w:rsidRDefault="00E42C7D" w:rsidP="00B65A5D">
            <w:pPr>
              <w:rPr>
                <w:b/>
                <w:bCs/>
              </w:rPr>
            </w:pPr>
            <w:r>
              <w:rPr>
                <w:b/>
              </w:rPr>
              <w:lastRenderedPageBreak/>
              <w:t xml:space="preserve">Processor: </w:t>
            </w:r>
            <w:r w:rsidRPr="00C16E1D">
              <w:rPr>
                <w:bCs/>
              </w:rPr>
              <w:t>NHS England</w:t>
            </w:r>
          </w:p>
        </w:tc>
      </w:tr>
      <w:tr w:rsidR="006D24A0" w:rsidRPr="00954E04" w14:paraId="5F2EFD8D" w14:textId="77777777" w:rsidTr="00AD412F">
        <w:tc>
          <w:tcPr>
            <w:tcW w:w="2972" w:type="dxa"/>
          </w:tcPr>
          <w:p w14:paraId="52E8E5D0" w14:textId="172C479A" w:rsidR="006D24A0" w:rsidRPr="00954E04" w:rsidRDefault="006D24A0" w:rsidP="006D24A0">
            <w:r>
              <w:lastRenderedPageBreak/>
              <w:t xml:space="preserve">Shared Care Record </w:t>
            </w:r>
          </w:p>
        </w:tc>
        <w:tc>
          <w:tcPr>
            <w:tcW w:w="6044" w:type="dxa"/>
          </w:tcPr>
          <w:p w14:paraId="4BC53B92" w14:textId="2FD43307" w:rsidR="006D24A0" w:rsidRDefault="006D24A0" w:rsidP="006D24A0">
            <w:pPr>
              <w:rPr>
                <w:bCs/>
              </w:rPr>
            </w:pPr>
            <w:r>
              <w:rPr>
                <w:b/>
              </w:rPr>
              <w:t xml:space="preserve">Purpose: </w:t>
            </w:r>
            <w:r w:rsidR="00E42C7D">
              <w:rPr>
                <w:bCs/>
              </w:rPr>
              <w:t xml:space="preserve">The </w:t>
            </w:r>
            <w:r>
              <w:rPr>
                <w:bCs/>
              </w:rPr>
              <w:t>shared care record</w:t>
            </w:r>
            <w:r w:rsidR="00E42C7D">
              <w:rPr>
                <w:bCs/>
              </w:rPr>
              <w:t xml:space="preserve"> </w:t>
            </w:r>
            <w:r>
              <w:rPr>
                <w:bCs/>
              </w:rPr>
              <w:t xml:space="preserve">will assist in patient information </w:t>
            </w:r>
            <w:r w:rsidR="00E42C7D">
              <w:rPr>
                <w:bCs/>
              </w:rPr>
              <w:t>being</w:t>
            </w:r>
            <w:r>
              <w:rPr>
                <w:bCs/>
              </w:rPr>
              <w:t xml:space="preserv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1458182C" w14:textId="77777777" w:rsidR="006D24A0" w:rsidRDefault="006D24A0" w:rsidP="006D24A0">
            <w:pPr>
              <w:rPr>
                <w:b/>
              </w:rPr>
            </w:pPr>
            <w:r>
              <w:rPr>
                <w:b/>
              </w:rPr>
              <w:t xml:space="preserve">Processor: </w:t>
            </w:r>
            <w:r w:rsidRPr="004D13A3">
              <w:rPr>
                <w:bCs/>
              </w:rPr>
              <w:t>NHS England</w:t>
            </w:r>
            <w:r w:rsidRPr="000B4F9E">
              <w:rPr>
                <w:b/>
              </w:rPr>
              <w:t xml:space="preserve"> </w:t>
            </w:r>
          </w:p>
          <w:p w14:paraId="6ED792FE" w14:textId="5A622629" w:rsidR="00602805" w:rsidRPr="00954E04" w:rsidRDefault="00602805" w:rsidP="006D24A0">
            <w:pPr>
              <w:rPr>
                <w:b/>
              </w:rPr>
            </w:pPr>
          </w:p>
        </w:tc>
      </w:tr>
      <w:tr w:rsidR="006D24A0" w:rsidRPr="00954E04" w14:paraId="5CC8F746" w14:textId="77777777" w:rsidTr="00AD412F">
        <w:tc>
          <w:tcPr>
            <w:tcW w:w="2972" w:type="dxa"/>
          </w:tcPr>
          <w:p w14:paraId="28C1FDFD" w14:textId="6F8544C0" w:rsidR="006D24A0" w:rsidRPr="00602805" w:rsidRDefault="006D24A0" w:rsidP="006D24A0">
            <w:r w:rsidRPr="00602805">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38D829F6" w14:textId="77777777" w:rsidR="006D24A0" w:rsidRDefault="006D24A0" w:rsidP="006D24A0">
            <w:pPr>
              <w:rPr>
                <w:rFonts w:cstheme="minorHAnsi"/>
              </w:rPr>
            </w:pPr>
            <w:r>
              <w:rPr>
                <w:b/>
              </w:rPr>
              <w:t xml:space="preserve">Processor: </w:t>
            </w:r>
            <w:r w:rsidR="00602805" w:rsidRPr="00E26A8A">
              <w:rPr>
                <w:rFonts w:cstheme="minorHAnsi"/>
              </w:rPr>
              <w:t>Health and Social care services</w:t>
            </w:r>
            <w:r w:rsidR="00602805">
              <w:rPr>
                <w:rFonts w:cstheme="minorHAnsi"/>
              </w:rPr>
              <w:t xml:space="preserve"> you are seen by </w:t>
            </w:r>
          </w:p>
          <w:p w14:paraId="19012A85" w14:textId="3C089B7B" w:rsidR="00602805" w:rsidRDefault="00602805" w:rsidP="006D24A0">
            <w:pPr>
              <w:rPr>
                <w:b/>
              </w:rPr>
            </w:pPr>
          </w:p>
        </w:tc>
      </w:tr>
      <w:bookmarkEnd w:id="1"/>
      <w:tr w:rsidR="006D24A0" w:rsidRPr="00954E04" w14:paraId="19222211" w14:textId="77777777" w:rsidTr="00AD412F">
        <w:tc>
          <w:tcPr>
            <w:tcW w:w="2972" w:type="dxa"/>
          </w:tcPr>
          <w:p w14:paraId="24C312CC" w14:textId="77777777" w:rsidR="006D24A0" w:rsidRPr="00602805" w:rsidRDefault="006D24A0" w:rsidP="006D24A0">
            <w:r w:rsidRPr="00602805">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LumiraDX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3A240E19" w14:textId="77777777" w:rsidR="00602805" w:rsidRDefault="00602805"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473E29BC" w:rsidR="006D24A0" w:rsidRPr="00E12637" w:rsidRDefault="006D24A0" w:rsidP="006D24A0">
            <w:pPr>
              <w:rPr>
                <w:bCs/>
              </w:rPr>
            </w:pPr>
            <w:r w:rsidRPr="00E70EFA">
              <w:rPr>
                <w:b/>
              </w:rPr>
              <w:t>Processor</w:t>
            </w:r>
            <w:r w:rsidRPr="00602805">
              <w:rPr>
                <w:bCs/>
              </w:rPr>
              <w:t>: LumiraDX INRStar</w:t>
            </w:r>
          </w:p>
        </w:tc>
      </w:tr>
      <w:tr w:rsidR="00E42C7D" w14:paraId="41A1ABB5" w14:textId="77777777" w:rsidTr="00B65A5D">
        <w:tc>
          <w:tcPr>
            <w:tcW w:w="2972" w:type="dxa"/>
            <w:hideMark/>
          </w:tcPr>
          <w:p w14:paraId="4DC24DCD" w14:textId="77777777" w:rsidR="00E42C7D" w:rsidRDefault="00E42C7D" w:rsidP="00B65A5D">
            <w:pPr>
              <w:spacing w:before="120" w:after="120"/>
              <w:rPr>
                <w:rFonts w:cstheme="minorHAnsi"/>
                <w:lang w:val="en-US"/>
              </w:rPr>
            </w:pPr>
            <w:r w:rsidRPr="00602805">
              <w:rPr>
                <w:rFonts w:cstheme="minorHAnsi"/>
                <w:lang w:val="en-US"/>
              </w:rPr>
              <w:lastRenderedPageBreak/>
              <w:t>Off Site Storage of medical records</w:t>
            </w:r>
          </w:p>
        </w:tc>
        <w:tc>
          <w:tcPr>
            <w:tcW w:w="6044" w:type="dxa"/>
            <w:hideMark/>
          </w:tcPr>
          <w:p w14:paraId="322F9F18" w14:textId="77777777" w:rsidR="00E42C7D" w:rsidRDefault="00E42C7D" w:rsidP="00B65A5D">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offsite 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67F72B97" w14:textId="77777777" w:rsidR="00E42C7D" w:rsidRDefault="00E42C7D" w:rsidP="00B65A5D">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105031D3" w14:textId="77777777" w:rsidR="00E42C7D" w:rsidRDefault="00E42C7D" w:rsidP="00B65A5D">
            <w:pPr>
              <w:spacing w:before="120" w:after="120"/>
              <w:rPr>
                <w:rFonts w:cstheme="minorHAnsi"/>
                <w:lang w:val="en-US"/>
              </w:rPr>
            </w:pPr>
            <w:r>
              <w:rPr>
                <w:rFonts w:cstheme="minorHAnsi"/>
                <w:lang w:val="en-US"/>
              </w:rPr>
              <w:t>Under UK GDPR Article 6 1(b) contractual obligation</w:t>
            </w:r>
          </w:p>
          <w:p w14:paraId="6F9429B1" w14:textId="77777777" w:rsidR="00E42C7D" w:rsidRDefault="00E42C7D" w:rsidP="00B65A5D">
            <w:pPr>
              <w:spacing w:before="120" w:after="120"/>
              <w:rPr>
                <w:rFonts w:cstheme="minorHAnsi"/>
                <w:lang w:val="en-US"/>
              </w:rPr>
            </w:pPr>
            <w:r>
              <w:rPr>
                <w:rFonts w:cstheme="minorHAnsi"/>
                <w:lang w:val="en-US"/>
              </w:rPr>
              <w:t>Article 6 1 (e) Public Task</w:t>
            </w:r>
          </w:p>
          <w:p w14:paraId="2210546D" w14:textId="77777777" w:rsidR="00E42C7D" w:rsidRDefault="00E42C7D" w:rsidP="00B65A5D">
            <w:pPr>
              <w:spacing w:before="120" w:after="120"/>
              <w:rPr>
                <w:rFonts w:cstheme="minorHAnsi"/>
                <w:lang w:val="en-US"/>
              </w:rPr>
            </w:pPr>
            <w:r>
              <w:rPr>
                <w:rFonts w:cstheme="minorHAnsi"/>
                <w:lang w:val="en-US"/>
              </w:rPr>
              <w:t>Article 9 2 (h) Health data.</w:t>
            </w:r>
          </w:p>
          <w:p w14:paraId="6783AD71" w14:textId="6D598A95" w:rsidR="00E42C7D" w:rsidRDefault="00E42C7D" w:rsidP="00B65A5D">
            <w:pPr>
              <w:spacing w:before="120" w:after="120"/>
              <w:rPr>
                <w:rFonts w:cstheme="minorHAnsi"/>
                <w:b/>
                <w:bCs/>
                <w:lang w:val="en-US"/>
              </w:rPr>
            </w:pPr>
            <w:r>
              <w:rPr>
                <w:rFonts w:cstheme="minorHAnsi"/>
                <w:b/>
                <w:bCs/>
                <w:lang w:val="en-US"/>
              </w:rPr>
              <w:t xml:space="preserve">Processor: </w:t>
            </w:r>
            <w:r w:rsidR="00602805">
              <w:rPr>
                <w:rFonts w:cstheme="minorHAnsi"/>
                <w:lang w:val="en-US"/>
              </w:rPr>
              <w:t>Data Space (formally Oasis)</w:t>
            </w:r>
          </w:p>
        </w:tc>
      </w:tr>
      <w:tr w:rsidR="00E42C7D" w14:paraId="43FE8D00" w14:textId="77777777" w:rsidTr="00B65A5D">
        <w:trPr>
          <w:trHeight w:val="1266"/>
        </w:trPr>
        <w:tc>
          <w:tcPr>
            <w:tcW w:w="2972" w:type="dxa"/>
            <w:hideMark/>
          </w:tcPr>
          <w:p w14:paraId="425D1BE1" w14:textId="5C4D8573" w:rsidR="00E42C7D" w:rsidRDefault="006E4158" w:rsidP="00B65A5D">
            <w:pPr>
              <w:pStyle w:val="NoSpacing"/>
            </w:pPr>
            <w:r>
              <w:t>O</w:t>
            </w:r>
            <w:r w:rsidR="00E42C7D">
              <w:t>nline access</w:t>
            </w:r>
          </w:p>
        </w:tc>
        <w:tc>
          <w:tcPr>
            <w:tcW w:w="6044" w:type="dxa"/>
          </w:tcPr>
          <w:p w14:paraId="0903659A" w14:textId="77777777" w:rsidR="00E42C7D" w:rsidRDefault="00E42C7D" w:rsidP="00B65A5D">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625D76C5" w14:textId="77777777" w:rsidR="00E42C7D" w:rsidRDefault="00E42C7D" w:rsidP="00B65A5D">
            <w:pPr>
              <w:pStyle w:val="NoSpacing"/>
            </w:pPr>
          </w:p>
          <w:p w14:paraId="36A25BC1" w14:textId="77777777" w:rsidR="00E42C7D" w:rsidRDefault="00E42C7D" w:rsidP="00B65A5D">
            <w:pPr>
              <w:pStyle w:val="NoSpacing"/>
            </w:pPr>
            <w:r>
              <w:rPr>
                <w:b/>
                <w:bCs/>
              </w:rPr>
              <w:t>Legal Basis</w:t>
            </w:r>
            <w:r>
              <w:t xml:space="preserve">: </w:t>
            </w:r>
          </w:p>
          <w:p w14:paraId="0DA6BC14" w14:textId="77777777" w:rsidR="00E42C7D" w:rsidRDefault="00E42C7D" w:rsidP="00B65A5D">
            <w:pPr>
              <w:pStyle w:val="NoSpacing"/>
            </w:pPr>
            <w:r>
              <w:rPr>
                <w:b/>
                <w:bCs/>
              </w:rPr>
              <w:t>UK GDPR</w:t>
            </w:r>
            <w:r>
              <w:t>:</w:t>
            </w:r>
          </w:p>
          <w:p w14:paraId="508A113F" w14:textId="77777777" w:rsidR="00E42C7D" w:rsidRDefault="00E42C7D" w:rsidP="00E42C7D">
            <w:pPr>
              <w:pStyle w:val="ListParagraph"/>
              <w:numPr>
                <w:ilvl w:val="0"/>
                <w:numId w:val="15"/>
              </w:numPr>
              <w:suppressAutoHyphens/>
              <w:autoSpaceDN w:val="0"/>
              <w:textAlignment w:val="baseline"/>
            </w:pPr>
            <w:r>
              <w:t>Article 6(1)(e) Necessary for the performance of a task carried out in the public interest</w:t>
            </w:r>
          </w:p>
          <w:p w14:paraId="5BC490C0" w14:textId="77777777" w:rsidR="00E42C7D" w:rsidRDefault="00E42C7D" w:rsidP="00E42C7D">
            <w:pPr>
              <w:pStyle w:val="ListParagraph"/>
              <w:numPr>
                <w:ilvl w:val="0"/>
                <w:numId w:val="15"/>
              </w:numPr>
              <w:suppressAutoHyphens/>
              <w:autoSpaceDN w:val="0"/>
              <w:textAlignment w:val="baseline"/>
            </w:pPr>
            <w:r>
              <w:t>Article 9(2)(h) Necessary for provision of health and/or social care, including preventative or occupational medicine</w:t>
            </w:r>
          </w:p>
          <w:p w14:paraId="1EF2010D" w14:textId="77777777" w:rsidR="00E42C7D" w:rsidRDefault="00E42C7D" w:rsidP="00B65A5D">
            <w:pPr>
              <w:pStyle w:val="ListParagraph"/>
              <w:suppressAutoHyphens/>
              <w:autoSpaceDN w:val="0"/>
              <w:textAlignment w:val="baseline"/>
            </w:pPr>
          </w:p>
          <w:p w14:paraId="451F0765" w14:textId="77777777" w:rsidR="00E42C7D" w:rsidRDefault="00E42C7D" w:rsidP="00B65A5D">
            <w:r>
              <w:rPr>
                <w:b/>
                <w:bCs/>
              </w:rPr>
              <w:t>Common Law Duty of Confidentiality (CLDC)</w:t>
            </w:r>
            <w:r>
              <w:t>:</w:t>
            </w:r>
          </w:p>
          <w:p w14:paraId="526B85F5" w14:textId="77777777" w:rsidR="00E42C7D" w:rsidRDefault="00E42C7D" w:rsidP="00E42C7D">
            <w:pPr>
              <w:pStyle w:val="ListParagraph"/>
              <w:numPr>
                <w:ilvl w:val="0"/>
                <w:numId w:val="14"/>
              </w:numPr>
              <w:suppressAutoHyphens/>
              <w:autoSpaceDN w:val="0"/>
              <w:textAlignment w:val="baseline"/>
            </w:pPr>
            <w:r>
              <w:t>The CLDC is satisfied as the data subjects are accessing their own data following sign up for a relevant app or platform and selecting the option to view their GP record.</w:t>
            </w:r>
          </w:p>
          <w:p w14:paraId="01FEE0CC" w14:textId="77777777" w:rsidR="00E42C7D" w:rsidRDefault="00E42C7D" w:rsidP="00B65A5D">
            <w:pPr>
              <w:pStyle w:val="NoSpacing"/>
            </w:pPr>
          </w:p>
          <w:p w14:paraId="12EC7CF6" w14:textId="77777777" w:rsidR="00E42C7D" w:rsidRDefault="00E42C7D" w:rsidP="00B65A5D">
            <w:pPr>
              <w:pStyle w:val="NoSpacing"/>
            </w:pPr>
            <w:r>
              <w:rPr>
                <w:b/>
                <w:bCs/>
              </w:rPr>
              <w:t>Processor</w:t>
            </w:r>
            <w:r>
              <w:t xml:space="preserve">: NHS Digital, </w:t>
            </w:r>
            <w:r w:rsidR="00602805">
              <w:t>EMIS</w:t>
            </w:r>
          </w:p>
          <w:p w14:paraId="4F2F577C" w14:textId="77777777" w:rsidR="00602805" w:rsidRDefault="00602805" w:rsidP="00B65A5D">
            <w:pPr>
              <w:pStyle w:val="NoSpacing"/>
            </w:pPr>
          </w:p>
          <w:p w14:paraId="2A02AEF4" w14:textId="590C6124" w:rsidR="00602805" w:rsidRDefault="00602805" w:rsidP="00B65A5D">
            <w:pPr>
              <w:pStyle w:val="NoSpacing"/>
            </w:pPr>
          </w:p>
        </w:tc>
      </w:tr>
      <w:tr w:rsidR="009E5CD9" w:rsidRPr="00954E04" w14:paraId="307FA207" w14:textId="77777777" w:rsidTr="00AD412F">
        <w:tc>
          <w:tcPr>
            <w:tcW w:w="2972" w:type="dxa"/>
          </w:tcPr>
          <w:p w14:paraId="145ACC49" w14:textId="35B5143C" w:rsidR="009E5CD9" w:rsidRPr="009E5CD9" w:rsidRDefault="009E5CD9" w:rsidP="009E5CD9">
            <w:pPr>
              <w:pStyle w:val="Default"/>
              <w:rPr>
                <w:sz w:val="22"/>
                <w:szCs w:val="22"/>
              </w:rPr>
            </w:pPr>
            <w:r w:rsidRPr="009E5CD9">
              <w:rPr>
                <w:sz w:val="22"/>
                <w:szCs w:val="22"/>
              </w:rPr>
              <w:lastRenderedPageBreak/>
              <w:t>EMIS</w:t>
            </w:r>
            <w:r w:rsidR="00D027C3">
              <w:rPr>
                <w:sz w:val="22"/>
                <w:szCs w:val="22"/>
              </w:rPr>
              <w:t xml:space="preserve"> Consultation</w:t>
            </w:r>
            <w:r w:rsidRPr="009E5CD9">
              <w:rPr>
                <w:sz w:val="22"/>
                <w:szCs w:val="22"/>
              </w:rPr>
              <w:t xml:space="preserve"> Writeback </w:t>
            </w:r>
          </w:p>
          <w:p w14:paraId="7B53D978" w14:textId="77777777" w:rsidR="009E5CD9" w:rsidRPr="00807DA7" w:rsidRDefault="009E5CD9" w:rsidP="006D24A0">
            <w:pPr>
              <w:rPr>
                <w:highlight w:val="yellow"/>
              </w:rPr>
            </w:pPr>
          </w:p>
        </w:tc>
        <w:tc>
          <w:tcPr>
            <w:tcW w:w="6044" w:type="dxa"/>
          </w:tcPr>
          <w:p w14:paraId="278CB00B" w14:textId="2648F1EB" w:rsidR="009E5CD9" w:rsidRDefault="009E5CD9" w:rsidP="009E5CD9">
            <w:pPr>
              <w:pStyle w:val="Default"/>
              <w:rPr>
                <w:sz w:val="22"/>
                <w:szCs w:val="22"/>
              </w:rPr>
            </w:pPr>
            <w:r w:rsidRPr="009E5CD9">
              <w:rPr>
                <w:b/>
                <w:bCs/>
                <w:sz w:val="22"/>
                <w:szCs w:val="22"/>
              </w:rPr>
              <w:t xml:space="preserve">Purpose: </w:t>
            </w:r>
            <w:r w:rsidRPr="009E5CD9">
              <w:rPr>
                <w:sz w:val="22"/>
                <w:szCs w:val="22"/>
              </w:rPr>
              <w:t xml:space="preserve">Our GP practice uses a system functionality called EMIS </w:t>
            </w:r>
            <w:r w:rsidR="00D027C3">
              <w:rPr>
                <w:sz w:val="22"/>
                <w:szCs w:val="22"/>
              </w:rPr>
              <w:t xml:space="preserve">consultation </w:t>
            </w:r>
            <w:r w:rsidRPr="009E5CD9">
              <w:rPr>
                <w:sz w:val="22"/>
                <w:szCs w:val="22"/>
              </w:rPr>
              <w:t xml:space="preserve">writeback. It allows other authorised NHS organisations involved in your direct care to add relevant clinical information directly into your GP record. </w:t>
            </w:r>
          </w:p>
          <w:p w14:paraId="47AB2AE7" w14:textId="77777777" w:rsidR="009E5CD9" w:rsidRPr="009E5CD9" w:rsidRDefault="009E5CD9" w:rsidP="009E5CD9">
            <w:pPr>
              <w:pStyle w:val="Default"/>
              <w:rPr>
                <w:sz w:val="22"/>
                <w:szCs w:val="22"/>
              </w:rPr>
            </w:pPr>
          </w:p>
          <w:p w14:paraId="5B4A554F" w14:textId="77777777" w:rsidR="009E5CD9" w:rsidRPr="009E5CD9" w:rsidRDefault="009E5CD9" w:rsidP="009E5CD9">
            <w:pPr>
              <w:pStyle w:val="Default"/>
              <w:rPr>
                <w:sz w:val="22"/>
                <w:szCs w:val="22"/>
              </w:rPr>
            </w:pPr>
            <w:r w:rsidRPr="009E5CD9">
              <w:rPr>
                <w:b/>
                <w:bCs/>
                <w:sz w:val="22"/>
                <w:szCs w:val="22"/>
              </w:rPr>
              <w:t xml:space="preserve">Legal Basis: </w:t>
            </w:r>
          </w:p>
          <w:p w14:paraId="4DB7A432" w14:textId="77777777" w:rsidR="009E5CD9" w:rsidRPr="009E5CD9" w:rsidRDefault="009E5CD9" w:rsidP="009E5CD9">
            <w:pPr>
              <w:pStyle w:val="Default"/>
              <w:rPr>
                <w:sz w:val="22"/>
                <w:szCs w:val="22"/>
              </w:rPr>
            </w:pPr>
            <w:r w:rsidRPr="009E5CD9">
              <w:rPr>
                <w:sz w:val="22"/>
                <w:szCs w:val="22"/>
              </w:rPr>
              <w:t xml:space="preserve">Article 6(1)e – Task carried out in the public interest. </w:t>
            </w:r>
          </w:p>
          <w:p w14:paraId="1922EC9B" w14:textId="77777777" w:rsidR="009E5CD9" w:rsidRDefault="009E5CD9" w:rsidP="009E5CD9">
            <w:pPr>
              <w:pStyle w:val="Default"/>
              <w:rPr>
                <w:sz w:val="22"/>
                <w:szCs w:val="22"/>
              </w:rPr>
            </w:pPr>
            <w:r w:rsidRPr="009E5CD9">
              <w:rPr>
                <w:sz w:val="22"/>
                <w:szCs w:val="22"/>
              </w:rPr>
              <w:t xml:space="preserve">Article 9(2)h – Provision of Health or Social Care. </w:t>
            </w:r>
          </w:p>
          <w:p w14:paraId="1B381C38" w14:textId="77777777" w:rsidR="009E5CD9" w:rsidRPr="009E5CD9" w:rsidRDefault="009E5CD9" w:rsidP="009E5CD9">
            <w:pPr>
              <w:pStyle w:val="Default"/>
              <w:rPr>
                <w:sz w:val="22"/>
                <w:szCs w:val="22"/>
              </w:rPr>
            </w:pPr>
          </w:p>
          <w:p w14:paraId="5ACAC8A1" w14:textId="47851F3E" w:rsidR="009E5CD9" w:rsidRPr="004D13A3" w:rsidRDefault="00D027C3" w:rsidP="009E5CD9">
            <w:pPr>
              <w:rPr>
                <w:b/>
                <w:bCs/>
              </w:rPr>
            </w:pPr>
            <w:r>
              <w:rPr>
                <w:b/>
                <w:bCs/>
              </w:rPr>
              <w:t>Processor</w:t>
            </w:r>
            <w:r w:rsidRPr="00602805">
              <w:rPr>
                <w:b/>
                <w:bCs/>
              </w:rPr>
              <w:t xml:space="preserve">: </w:t>
            </w:r>
            <w:r w:rsidRPr="00602805">
              <w:t>Optum, GP Connect</w:t>
            </w:r>
            <w:r w:rsidR="009E5CD9" w:rsidRPr="004D13A3">
              <w:rPr>
                <w:b/>
                <w:bCs/>
                <w:sz w:val="20"/>
                <w:szCs w:val="20"/>
              </w:rPr>
              <w:t xml:space="preserve"> </w:t>
            </w:r>
          </w:p>
        </w:tc>
      </w:tr>
      <w:tr w:rsidR="00112417" w:rsidRPr="00954E04" w14:paraId="1352784A" w14:textId="77777777" w:rsidTr="00AD412F">
        <w:tc>
          <w:tcPr>
            <w:tcW w:w="2972" w:type="dxa"/>
          </w:tcPr>
          <w:p w14:paraId="4DF95091" w14:textId="4147334B" w:rsidR="00112417" w:rsidRPr="009E5CD9" w:rsidRDefault="00112417" w:rsidP="00112417">
            <w:pPr>
              <w:pStyle w:val="Default"/>
              <w:rPr>
                <w:sz w:val="22"/>
                <w:szCs w:val="22"/>
              </w:rPr>
            </w:pPr>
            <w:r w:rsidRPr="004D13A3">
              <w:rPr>
                <w:b/>
                <w:bCs/>
                <w:szCs w:val="22"/>
              </w:rPr>
              <w:t>Electronic reporting solution</w:t>
            </w:r>
            <w:r w:rsidRPr="00F17294">
              <w:rPr>
                <w:szCs w:val="22"/>
              </w:rPr>
              <w:t xml:space="preserve"> – Managed Service</w:t>
            </w:r>
          </w:p>
        </w:tc>
        <w:tc>
          <w:tcPr>
            <w:tcW w:w="6044" w:type="dxa"/>
          </w:tcPr>
          <w:p w14:paraId="6387AC2B" w14:textId="77777777" w:rsidR="00112417" w:rsidRPr="00170C69" w:rsidRDefault="00112417" w:rsidP="00112417">
            <w:pPr>
              <w:rPr>
                <w:rFonts w:ascii="Calibri" w:hAnsi="Calibri" w:cs="Calibri"/>
                <w:color w:val="262626" w:themeColor="text1" w:themeTint="D9"/>
              </w:rPr>
            </w:pPr>
            <w:r w:rsidRPr="00170C69">
              <w:rPr>
                <w:rFonts w:ascii="Calibri" w:hAnsi="Calibri" w:cs="Calibri"/>
                <w:b/>
                <w:bCs/>
              </w:rPr>
              <w:t>Purpose</w:t>
            </w:r>
            <w:r w:rsidRPr="00170C69">
              <w:rPr>
                <w:rFonts w:ascii="Calibri" w:hAnsi="Calibri" w:cs="Calibri"/>
              </w:rPr>
              <w:t xml:space="preserve">: </w:t>
            </w:r>
            <w:r w:rsidRPr="00170C69">
              <w:rPr>
                <w:rStyle w:val="textcorrect"/>
              </w:rPr>
              <w:t xml:space="preserve">The iGPR Electronic Reporting Solution provides GP Practices a solution to manage Subject Access Requests (SARs) under UK GDPR </w:t>
            </w:r>
            <w:r w:rsidRPr="00170C69">
              <w:rPr>
                <w:rStyle w:val="textcorrect"/>
                <w:i/>
                <w:iCs/>
              </w:rPr>
              <w:t>and other requests for information</w:t>
            </w:r>
            <w:r w:rsidRPr="00170C69">
              <w:rPr>
                <w:rStyle w:val="textcorrect"/>
              </w:rPr>
              <w:t xml:space="preserve"> that are received from patients and third parties. The solution integrates directly with the practice clinical system.</w:t>
            </w:r>
            <w:r>
              <w:rPr>
                <w:rStyle w:val="textcorrect"/>
              </w:rPr>
              <w:t xml:space="preserve"> iGPR acts as a data Processor and securely reviews, prepares and supplies copies of medical records or reports when we as your GP practice are either legally required or when you have given your consent.</w:t>
            </w:r>
          </w:p>
          <w:p w14:paraId="66E4EB59" w14:textId="77777777" w:rsidR="00112417" w:rsidRPr="00170C69" w:rsidRDefault="00112417" w:rsidP="00112417">
            <w:pPr>
              <w:pStyle w:val="NoSpacing"/>
              <w:rPr>
                <w:rFonts w:ascii="Calibri" w:hAnsi="Calibri" w:cs="Calibri"/>
              </w:rPr>
            </w:pPr>
          </w:p>
          <w:p w14:paraId="7725AD97" w14:textId="77777777" w:rsidR="00112417" w:rsidRPr="00094282" w:rsidRDefault="00112417" w:rsidP="00112417">
            <w:pPr>
              <w:rPr>
                <w:rStyle w:val="textcorrect"/>
              </w:rPr>
            </w:pPr>
            <w:r w:rsidRPr="00170C69">
              <w:rPr>
                <w:rFonts w:ascii="Calibri" w:hAnsi="Calibri" w:cs="Calibri"/>
                <w:b/>
                <w:bCs/>
              </w:rPr>
              <w:t>Legal Basis</w:t>
            </w:r>
            <w:r w:rsidRPr="00170C69">
              <w:rPr>
                <w:rFonts w:ascii="Calibri" w:hAnsi="Calibri" w:cs="Calibri"/>
              </w:rPr>
              <w:t xml:space="preserve">: </w:t>
            </w:r>
            <w:r w:rsidRPr="00094282">
              <w:rPr>
                <w:rStyle w:val="textcorrect"/>
              </w:rPr>
              <w:t xml:space="preserve">Under GDPR the surgery has used its legal basis of </w:t>
            </w:r>
          </w:p>
          <w:p w14:paraId="7B816826" w14:textId="77777777" w:rsidR="00112417" w:rsidRPr="00094282" w:rsidRDefault="00112417" w:rsidP="00112417">
            <w:pPr>
              <w:rPr>
                <w:rStyle w:val="textcorrect"/>
              </w:rPr>
            </w:pPr>
            <w:r w:rsidRPr="00094282">
              <w:rPr>
                <w:rStyle w:val="textcorrect"/>
              </w:rPr>
              <w:t>Article 6 1(c) it is necessary under a legal obligation to which the controller is subject</w:t>
            </w:r>
          </w:p>
          <w:p w14:paraId="2E856208" w14:textId="77777777" w:rsidR="00112417" w:rsidRPr="00094282" w:rsidRDefault="00112417" w:rsidP="00112417">
            <w:pPr>
              <w:jc w:val="both"/>
              <w:rPr>
                <w:rStyle w:val="textcorrect"/>
              </w:rPr>
            </w:pPr>
            <w:r w:rsidRPr="00094282">
              <w:rPr>
                <w:rStyle w:val="textcorrect"/>
              </w:rPr>
              <w:t>Article 6 1 (e) Public Task - it is necessary for the performance of a task carried out in the public interest or under official authority vested in the controller</w:t>
            </w:r>
          </w:p>
          <w:p w14:paraId="4E0E99DB" w14:textId="77777777" w:rsidR="00112417" w:rsidRPr="00094282" w:rsidRDefault="00112417" w:rsidP="00112417">
            <w:pPr>
              <w:jc w:val="both"/>
              <w:rPr>
                <w:rStyle w:val="textcorrect"/>
              </w:rPr>
            </w:pPr>
            <w:r w:rsidRPr="00094282">
              <w:rPr>
                <w:rStyle w:val="textcorrect"/>
              </w:rPr>
              <w:t>Article 9 2 (a) health data - the data subject has given explicit consent</w:t>
            </w:r>
          </w:p>
          <w:p w14:paraId="2131554E" w14:textId="77777777" w:rsidR="00112417" w:rsidRPr="00170C69" w:rsidRDefault="00112417" w:rsidP="00112417">
            <w:pPr>
              <w:pStyle w:val="NoSpacing"/>
              <w:rPr>
                <w:rFonts w:ascii="Calibri" w:hAnsi="Calibri" w:cs="Calibri"/>
              </w:rPr>
            </w:pPr>
          </w:p>
          <w:p w14:paraId="7094B0E0" w14:textId="7CA256A4" w:rsidR="00112417" w:rsidRPr="009E5CD9" w:rsidRDefault="00112417" w:rsidP="00112417">
            <w:pPr>
              <w:pStyle w:val="Default"/>
              <w:rPr>
                <w:b/>
                <w:bCs/>
                <w:sz w:val="22"/>
                <w:szCs w:val="22"/>
              </w:rPr>
            </w:pPr>
            <w:r w:rsidRPr="00170C69">
              <w:rPr>
                <w:b/>
                <w:bCs/>
                <w:szCs w:val="22"/>
              </w:rPr>
              <w:t>Processor</w:t>
            </w:r>
            <w:r w:rsidRPr="00170C69">
              <w:rPr>
                <w:szCs w:val="22"/>
              </w:rPr>
              <w:t xml:space="preserve">: </w:t>
            </w:r>
            <w:r w:rsidRPr="00094282">
              <w:rPr>
                <w:rStyle w:val="textcorrect"/>
              </w:rPr>
              <w:t>iGPR Technologies Ltd</w:t>
            </w:r>
          </w:p>
        </w:tc>
      </w:tr>
      <w:tr w:rsidR="00A855A6" w:rsidRPr="00954E04" w14:paraId="09C55B75" w14:textId="77777777" w:rsidTr="00AD412F">
        <w:tc>
          <w:tcPr>
            <w:tcW w:w="2972" w:type="dxa"/>
          </w:tcPr>
          <w:p w14:paraId="4974A0F7" w14:textId="3A048B57" w:rsidR="00A855A6" w:rsidRPr="00F17294" w:rsidRDefault="00A855A6" w:rsidP="00112417">
            <w:pPr>
              <w:pStyle w:val="Default"/>
              <w:rPr>
                <w:szCs w:val="22"/>
              </w:rPr>
            </w:pPr>
            <w:r w:rsidRPr="007365EF">
              <w:rPr>
                <w:rFonts w:eastAsia="Times New Roman"/>
                <w:b/>
                <w:bCs/>
                <w:color w:val="242424"/>
              </w:rPr>
              <w:t>NHSMail and Office 365 (N365 Applications and SharePoint)</w:t>
            </w:r>
          </w:p>
        </w:tc>
        <w:tc>
          <w:tcPr>
            <w:tcW w:w="6044" w:type="dxa"/>
          </w:tcPr>
          <w:p w14:paraId="5A892D57"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Purpose: </w:t>
            </w:r>
            <w:r w:rsidRPr="007365EF">
              <w:rPr>
                <w:rFonts w:ascii="Calibri" w:eastAsia="Times New Roman" w:hAnsi="Calibri" w:cs="Calibri"/>
                <w:color w:val="242424"/>
                <w:lang w:eastAsia="en-GB"/>
              </w:rPr>
              <w:t>NHSmail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10D9298D"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5B9D4D9A"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National Reach: </w:t>
            </w:r>
            <w:r w:rsidRPr="00A855A6">
              <w:rPr>
                <w:rFonts w:ascii="Calibri" w:eastAsia="Times New Roman" w:hAnsi="Calibri" w:cs="Calibri"/>
                <w:color w:val="242424"/>
                <w:lang w:eastAsia="en-GB"/>
              </w:rPr>
              <w:t>Staff can easily connect across different NHS organisations.</w:t>
            </w:r>
          </w:p>
          <w:p w14:paraId="3CB6F579"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Safety: </w:t>
            </w:r>
            <w:r w:rsidRPr="00A855A6">
              <w:rPr>
                <w:rFonts w:ascii="Calibri" w:eastAsia="Times New Roman" w:hAnsi="Calibri" w:cs="Calibri"/>
                <w:color w:val="242424"/>
                <w:lang w:eastAsia="en-GB"/>
              </w:rPr>
              <w:t>Advanced protection against viruses and spam keeps information secure.</w:t>
            </w:r>
          </w:p>
          <w:p w14:paraId="51F3E558"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Flexibility: </w:t>
            </w:r>
            <w:r w:rsidRPr="00A855A6">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6FA9F1FC"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14B23843"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Legal Basis:</w:t>
            </w:r>
          </w:p>
          <w:p w14:paraId="14252D45"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Article 6(1)e - </w:t>
            </w:r>
            <w:r w:rsidRPr="007365EF">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71467C1E"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Article 9(2)h - </w:t>
            </w:r>
            <w:r w:rsidRPr="007365EF">
              <w:rPr>
                <w:rFonts w:ascii="Calibri" w:eastAsia="Times New Roman" w:hAnsi="Calibri" w:cs="Calibri"/>
                <w:color w:val="242424"/>
                <w:lang w:eastAsia="en-GB"/>
              </w:rPr>
              <w:t>“processing is necessary for the purposes of preventive or occupational medicine”;</w:t>
            </w:r>
          </w:p>
          <w:p w14:paraId="77802C26"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3079F41D" w14:textId="77777777" w:rsidR="004D13A3" w:rsidRDefault="00A855A6" w:rsidP="00A855A6">
            <w:pPr>
              <w:rPr>
                <w:rFonts w:ascii="Calibri" w:eastAsia="Times New Roman" w:hAnsi="Calibri" w:cs="Calibri"/>
                <w:b/>
                <w:bCs/>
                <w:color w:val="242424"/>
                <w:lang w:eastAsia="en-GB"/>
              </w:rPr>
            </w:pPr>
            <w:r w:rsidRPr="007365EF">
              <w:rPr>
                <w:rFonts w:ascii="Calibri" w:eastAsia="Times New Roman" w:hAnsi="Calibri" w:cs="Calibri"/>
                <w:b/>
                <w:bCs/>
                <w:color w:val="242424"/>
                <w:lang w:eastAsia="en-GB"/>
              </w:rPr>
              <w:lastRenderedPageBreak/>
              <w:t>Processor: </w:t>
            </w:r>
            <w:r w:rsidRPr="004D13A3">
              <w:rPr>
                <w:rFonts w:ascii="Calibri" w:eastAsia="Times New Roman" w:hAnsi="Calibri" w:cs="Calibri"/>
                <w:color w:val="242424"/>
                <w:lang w:eastAsia="en-GB"/>
              </w:rPr>
              <w:t>Accenture</w:t>
            </w:r>
          </w:p>
          <w:p w14:paraId="1A4FFDB9" w14:textId="5196B7F4" w:rsidR="00A855A6" w:rsidRPr="004D13A3" w:rsidRDefault="00A855A6" w:rsidP="00112417">
            <w:r w:rsidRPr="007365EF">
              <w:rPr>
                <w:rFonts w:ascii="Calibri" w:eastAsia="Times New Roman" w:hAnsi="Calibri" w:cs="Calibri"/>
                <w:b/>
                <w:bCs/>
                <w:color w:val="242424"/>
                <w:lang w:eastAsia="en-GB"/>
              </w:rPr>
              <w:t xml:space="preserve">Sub-processor: </w:t>
            </w:r>
            <w:r w:rsidRPr="004D13A3">
              <w:rPr>
                <w:rFonts w:ascii="Calibri" w:eastAsia="Times New Roman" w:hAnsi="Calibri" w:cs="Calibri"/>
                <w:color w:val="242424"/>
                <w:lang w:eastAsia="en-GB"/>
              </w:rPr>
              <w:t>Microsoft</w:t>
            </w:r>
          </w:p>
        </w:tc>
      </w:tr>
      <w:tr w:rsidR="00A855A6" w:rsidRPr="00954E04" w14:paraId="3CE09186" w14:textId="77777777" w:rsidTr="00AD412F">
        <w:tc>
          <w:tcPr>
            <w:tcW w:w="2972" w:type="dxa"/>
          </w:tcPr>
          <w:p w14:paraId="204E490B" w14:textId="77777777" w:rsidR="00A855A6" w:rsidRPr="00E7397D" w:rsidRDefault="00A855A6" w:rsidP="00A855A6">
            <w:pPr>
              <w:pStyle w:val="Default"/>
            </w:pPr>
            <w:r w:rsidRPr="00E7397D">
              <w:lastRenderedPageBreak/>
              <w:t xml:space="preserve">Child Health Information Services (CHIS) </w:t>
            </w:r>
          </w:p>
          <w:p w14:paraId="5999BED5" w14:textId="77777777" w:rsidR="00A855A6" w:rsidRPr="007365EF" w:rsidRDefault="00A855A6" w:rsidP="00112417">
            <w:pPr>
              <w:pStyle w:val="Default"/>
              <w:rPr>
                <w:rFonts w:eastAsia="Times New Roman"/>
                <w:b/>
                <w:bCs/>
                <w:color w:val="242424"/>
              </w:rPr>
            </w:pPr>
          </w:p>
        </w:tc>
        <w:tc>
          <w:tcPr>
            <w:tcW w:w="6044" w:type="dxa"/>
          </w:tcPr>
          <w:p w14:paraId="65778A1D" w14:textId="1C9B2494" w:rsidR="00A855A6" w:rsidRDefault="00A855A6" w:rsidP="00A855A6">
            <w:pPr>
              <w:jc w:val="both"/>
              <w:rPr>
                <w:rFonts w:cstheme="minorHAnsi"/>
                <w:color w:val="000000"/>
                <w:sz w:val="24"/>
                <w:szCs w:val="24"/>
                <w:shd w:val="clear" w:color="auto" w:fill="FFFFFF"/>
              </w:rPr>
            </w:pPr>
            <w:r w:rsidRPr="00E7397D">
              <w:rPr>
                <w:rFonts w:eastAsia="Calibri" w:cstheme="minorHAnsi"/>
                <w:b/>
                <w:bCs/>
                <w:sz w:val="24"/>
                <w:szCs w:val="24"/>
              </w:rPr>
              <w:t xml:space="preserve">Purpose – </w:t>
            </w:r>
            <w:r w:rsidR="004D13A3" w:rsidRPr="00E7397D">
              <w:rPr>
                <w:rFonts w:cstheme="minorHAnsi"/>
                <w:color w:val="000000"/>
                <w:sz w:val="24"/>
                <w:szCs w:val="24"/>
                <w:shd w:val="clear" w:color="auto" w:fill="FFFFFF"/>
              </w:rPr>
              <w:t>South</w:t>
            </w:r>
            <w:r w:rsidRPr="00E7397D">
              <w:rPr>
                <w:rFonts w:cstheme="minorHAnsi"/>
                <w:color w:val="000000"/>
                <w:sz w:val="24"/>
                <w:szCs w:val="24"/>
                <w:shd w:val="clear" w:color="auto" w:fill="FFFFFF"/>
              </w:rPr>
              <w:t xml:space="preserve"> Central and West Child Health Information Services (SCW CHIS) is commissioned by NHS England to support the monitoring of care delivered to children</w:t>
            </w:r>
            <w:r w:rsidRPr="00E7397D">
              <w:rPr>
                <w:rFonts w:cstheme="minorHAnsi"/>
                <w:sz w:val="24"/>
                <w:szCs w:val="24"/>
                <w:shd w:val="clear" w:color="auto" w:fill="FFFFFF"/>
              </w:rPr>
              <w:t>.  P</w:t>
            </w:r>
            <w:r w:rsidRPr="00E7397D">
              <w:rPr>
                <w:rFonts w:cstheme="minorHAnsi"/>
                <w:sz w:val="24"/>
                <w:szCs w:val="24"/>
              </w:rPr>
              <w:t>ersonal data is collected from the child’s GP record to enable h</w:t>
            </w:r>
            <w:r w:rsidRPr="00E7397D">
              <w:rPr>
                <w:rFonts w:cstheme="minorHAnsi"/>
                <w:color w:val="000000"/>
                <w:sz w:val="24"/>
                <w:szCs w:val="24"/>
                <w:shd w:val="clear" w:color="auto" w:fill="FFFFFF"/>
              </w:rPr>
              <w:t xml:space="preserve">ealth screening, physical examination and vaccination services </w:t>
            </w:r>
            <w:r w:rsidRPr="00E7397D">
              <w:rPr>
                <w:rFonts w:cstheme="minorHAnsi"/>
                <w:sz w:val="24"/>
                <w:szCs w:val="24"/>
                <w:shd w:val="clear" w:color="auto" w:fill="FFFFFF"/>
              </w:rPr>
              <w:t>to be</w:t>
            </w:r>
            <w:r w:rsidRPr="00E7397D">
              <w:rPr>
                <w:rFonts w:cstheme="minorHAnsi"/>
                <w:color w:val="000000"/>
                <w:sz w:val="24"/>
                <w:szCs w:val="24"/>
                <w:shd w:val="clear" w:color="auto" w:fill="FFFFFF"/>
              </w:rPr>
              <w:t xml:space="preserve"> monitored to ensure that every child has access to all relevant health interventions. </w:t>
            </w:r>
          </w:p>
          <w:p w14:paraId="46441D05" w14:textId="77777777" w:rsidR="00A855A6" w:rsidRPr="00E7397D" w:rsidRDefault="00A855A6" w:rsidP="00A855A6">
            <w:pPr>
              <w:jc w:val="both"/>
              <w:rPr>
                <w:rFonts w:eastAsia="Calibri" w:cstheme="minorHAnsi"/>
                <w:bCs/>
                <w:sz w:val="24"/>
                <w:szCs w:val="24"/>
              </w:rPr>
            </w:pPr>
          </w:p>
          <w:p w14:paraId="35FA61A3" w14:textId="77777777" w:rsidR="00A855A6" w:rsidRPr="00E7397D" w:rsidRDefault="00A855A6" w:rsidP="00A855A6">
            <w:pPr>
              <w:jc w:val="both"/>
              <w:rPr>
                <w:rFonts w:eastAsia="Calibri" w:cstheme="minorHAnsi"/>
                <w:bCs/>
                <w:sz w:val="24"/>
                <w:szCs w:val="24"/>
              </w:rPr>
            </w:pPr>
            <w:r w:rsidRPr="00E7397D">
              <w:rPr>
                <w:rFonts w:eastAsia="Calibri" w:cstheme="minorHAnsi"/>
                <w:bCs/>
                <w:sz w:val="24"/>
                <w:szCs w:val="24"/>
              </w:rPr>
              <w:t xml:space="preserve">For more information: </w:t>
            </w:r>
            <w:hyperlink r:id="rId22" w:history="1">
              <w:r w:rsidRPr="00E7397D">
                <w:rPr>
                  <w:rStyle w:val="Hyperlink"/>
                  <w:sz w:val="24"/>
                  <w:szCs w:val="24"/>
                </w:rPr>
                <w:t>Fair Processing Notice Child Health Information Services - NHS SCW Support and Transformation for Health and Care (scwcsu.nhs.uk)</w:t>
              </w:r>
            </w:hyperlink>
          </w:p>
          <w:p w14:paraId="618081A8" w14:textId="77777777" w:rsidR="00A855A6" w:rsidRPr="00E7397D" w:rsidRDefault="00A855A6" w:rsidP="00A855A6">
            <w:pPr>
              <w:pStyle w:val="Default"/>
              <w:rPr>
                <w:rFonts w:ascii="Arial" w:hAnsi="Arial" w:cs="Arial"/>
              </w:rPr>
            </w:pPr>
            <w:r w:rsidRPr="00E7397D">
              <w:rPr>
                <w:rFonts w:eastAsia="Calibri" w:cstheme="minorHAnsi"/>
                <w:b/>
                <w:bCs/>
              </w:rPr>
              <w:t>Legal Basis</w:t>
            </w:r>
            <w:r w:rsidRPr="00E7397D">
              <w:rPr>
                <w:rFonts w:eastAsia="Calibri" w:cstheme="minorHAnsi"/>
                <w:bCs/>
              </w:rPr>
              <w:t xml:space="preserve"> – </w:t>
            </w:r>
            <w:r w:rsidRPr="00E7397D">
              <w:rPr>
                <w:rFonts w:eastAsia="Calibri" w:cstheme="minorHAnsi"/>
              </w:rPr>
              <w:t>Article 6(1)(e); ‘necessary… in the exercise of official authority vested in the controller’ and Article 9(2)(h) as stated below.</w:t>
            </w:r>
            <w:r w:rsidRPr="00E7397D">
              <w:rPr>
                <w:rFonts w:eastAsia="Calibri" w:cstheme="minorHAnsi"/>
              </w:rPr>
              <w:br/>
            </w:r>
          </w:p>
          <w:p w14:paraId="7A3ACD3D" w14:textId="19FAE2E6" w:rsidR="00A855A6" w:rsidRPr="007365EF" w:rsidRDefault="00A855A6" w:rsidP="00A855A6">
            <w:pPr>
              <w:shd w:val="clear" w:color="auto" w:fill="FFFFFF"/>
              <w:rPr>
                <w:rFonts w:ascii="Calibri" w:eastAsia="Times New Roman" w:hAnsi="Calibri" w:cs="Calibri"/>
                <w:b/>
                <w:bCs/>
                <w:color w:val="242424"/>
                <w:lang w:eastAsia="en-GB"/>
              </w:rPr>
            </w:pPr>
            <w:r w:rsidRPr="00E7397D">
              <w:rPr>
                <w:rFonts w:eastAsia="Calibri" w:cstheme="minorHAnsi"/>
                <w:b/>
                <w:bCs/>
                <w:sz w:val="24"/>
                <w:szCs w:val="24"/>
              </w:rPr>
              <w:t>Processor</w:t>
            </w:r>
            <w:r w:rsidRPr="00E7397D">
              <w:rPr>
                <w:rFonts w:eastAsia="Calibri" w:cstheme="minorHAnsi"/>
                <w:bCs/>
                <w:sz w:val="24"/>
                <w:szCs w:val="24"/>
              </w:rPr>
              <w:t xml:space="preserve"> – </w:t>
            </w:r>
            <w:r w:rsidRPr="00074C32">
              <w:rPr>
                <w:rFonts w:eastAsia="Calibri" w:cstheme="minorHAnsi"/>
                <w:bCs/>
                <w:sz w:val="24"/>
                <w:szCs w:val="24"/>
              </w:rPr>
              <w:t xml:space="preserve">SCW, </w:t>
            </w:r>
            <w:r w:rsidRPr="00074C32">
              <w:rPr>
                <w:sz w:val="24"/>
                <w:szCs w:val="24"/>
              </w:rPr>
              <w:t>Apollo Medical Software Solutions, SystemC</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5FA91B54"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w:t>
      </w:r>
      <w:r w:rsidR="00D608F7">
        <w:rPr>
          <w:rFonts w:eastAsia="Times New Roman" w:cstheme="minorHAnsi"/>
          <w:color w:val="000000" w:themeColor="text1"/>
          <w:lang w:val="en-US" w:eastAsia="en-GB"/>
        </w:rPr>
        <w:t xml:space="preserve"> </w:t>
      </w:r>
      <w:r w:rsidR="00602805">
        <w:rPr>
          <w:rFonts w:eastAsia="Times New Roman" w:cstheme="minorHAnsi"/>
          <w:color w:val="000000" w:themeColor="text1"/>
          <w:lang w:val="en-US" w:eastAsia="en-GB"/>
        </w:rPr>
        <w:t>29.06.26</w:t>
      </w:r>
    </w:p>
    <w:p w14:paraId="10FEECD6" w14:textId="77777777" w:rsidR="00FB0D05" w:rsidRDefault="00FB0D05"/>
    <w:sectPr w:rsidR="00FB0D05">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C1A9" w14:textId="77777777" w:rsidR="00AC14B3" w:rsidRDefault="00AC14B3" w:rsidP="00F07ECC">
      <w:pPr>
        <w:spacing w:after="0" w:line="240" w:lineRule="auto"/>
      </w:pPr>
      <w:r>
        <w:separator/>
      </w:r>
    </w:p>
  </w:endnote>
  <w:endnote w:type="continuationSeparator" w:id="0">
    <w:p w14:paraId="55A2DDF5" w14:textId="77777777" w:rsidR="00AC14B3" w:rsidRDefault="00AC14B3"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5530921" w:rsidR="00BC50D8" w:rsidRDefault="00BC50D8">
    <w:pPr>
      <w:pStyle w:val="Footer"/>
    </w:pPr>
    <w:r>
      <w:t>Appendix A – GP Privacy Notice V</w:t>
    </w:r>
    <w:r w:rsidR="002A1C6F">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4F5F" w14:textId="77777777" w:rsidR="00AC14B3" w:rsidRDefault="00AC14B3" w:rsidP="00F07ECC">
      <w:pPr>
        <w:spacing w:after="0" w:line="240" w:lineRule="auto"/>
      </w:pPr>
      <w:r>
        <w:separator/>
      </w:r>
    </w:p>
  </w:footnote>
  <w:footnote w:type="continuationSeparator" w:id="0">
    <w:p w14:paraId="30F1CEB6" w14:textId="77777777" w:rsidR="00AC14B3" w:rsidRDefault="00AC14B3"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3DA382D8" w:rsidR="00BC50D8" w:rsidRDefault="00602805" w:rsidP="00F07ECC">
    <w:pPr>
      <w:pStyle w:val="Header"/>
      <w:jc w:val="right"/>
    </w:pPr>
    <w:r>
      <w:t>Ardingly Court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0B4"/>
    <w:multiLevelType w:val="hybridMultilevel"/>
    <w:tmpl w:val="AC803ED4"/>
    <w:lvl w:ilvl="0" w:tplc="4544BB2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584130">
    <w:abstractNumId w:val="0"/>
  </w:num>
  <w:num w:numId="2" w16cid:durableId="499009569">
    <w:abstractNumId w:val="13"/>
  </w:num>
  <w:num w:numId="3" w16cid:durableId="83385745">
    <w:abstractNumId w:val="9"/>
  </w:num>
  <w:num w:numId="4" w16cid:durableId="30766426">
    <w:abstractNumId w:val="3"/>
  </w:num>
  <w:num w:numId="5" w16cid:durableId="68551050">
    <w:abstractNumId w:val="8"/>
  </w:num>
  <w:num w:numId="6" w16cid:durableId="83768655">
    <w:abstractNumId w:val="15"/>
  </w:num>
  <w:num w:numId="7" w16cid:durableId="707141479">
    <w:abstractNumId w:val="1"/>
  </w:num>
  <w:num w:numId="8" w16cid:durableId="1804889350">
    <w:abstractNumId w:val="14"/>
  </w:num>
  <w:num w:numId="9" w16cid:durableId="1538930953">
    <w:abstractNumId w:val="10"/>
  </w:num>
  <w:num w:numId="10" w16cid:durableId="1327829009">
    <w:abstractNumId w:val="6"/>
  </w:num>
  <w:num w:numId="11" w16cid:durableId="1412123067">
    <w:abstractNumId w:val="4"/>
  </w:num>
  <w:num w:numId="12" w16cid:durableId="1732536762">
    <w:abstractNumId w:val="12"/>
  </w:num>
  <w:num w:numId="13" w16cid:durableId="821385879">
    <w:abstractNumId w:val="7"/>
  </w:num>
  <w:num w:numId="14" w16cid:durableId="725227475">
    <w:abstractNumId w:val="2"/>
  </w:num>
  <w:num w:numId="15" w16cid:durableId="1938556723">
    <w:abstractNumId w:val="11"/>
  </w:num>
  <w:num w:numId="16" w16cid:durableId="2124613808">
    <w:abstractNumId w:val="16"/>
  </w:num>
  <w:num w:numId="17" w16cid:durableId="1982998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10AF6"/>
    <w:rsid w:val="00031D32"/>
    <w:rsid w:val="00054535"/>
    <w:rsid w:val="000559D2"/>
    <w:rsid w:val="00062456"/>
    <w:rsid w:val="00070977"/>
    <w:rsid w:val="00075938"/>
    <w:rsid w:val="000A4BC4"/>
    <w:rsid w:val="000B1FBD"/>
    <w:rsid w:val="000B4F9E"/>
    <w:rsid w:val="000C022F"/>
    <w:rsid w:val="000C1122"/>
    <w:rsid w:val="000D063B"/>
    <w:rsid w:val="000D0ADB"/>
    <w:rsid w:val="00112417"/>
    <w:rsid w:val="0012209A"/>
    <w:rsid w:val="00125E31"/>
    <w:rsid w:val="0016008F"/>
    <w:rsid w:val="0019184A"/>
    <w:rsid w:val="00196EFB"/>
    <w:rsid w:val="001A1F49"/>
    <w:rsid w:val="001B249E"/>
    <w:rsid w:val="001B38AE"/>
    <w:rsid w:val="001C176E"/>
    <w:rsid w:val="001D52B4"/>
    <w:rsid w:val="001F5522"/>
    <w:rsid w:val="00211D4E"/>
    <w:rsid w:val="00250E21"/>
    <w:rsid w:val="00254F48"/>
    <w:rsid w:val="002758F4"/>
    <w:rsid w:val="00280886"/>
    <w:rsid w:val="00296933"/>
    <w:rsid w:val="002A1C6F"/>
    <w:rsid w:val="002B05A9"/>
    <w:rsid w:val="002E0251"/>
    <w:rsid w:val="002F2E2E"/>
    <w:rsid w:val="002F6A9F"/>
    <w:rsid w:val="0033147B"/>
    <w:rsid w:val="0036496C"/>
    <w:rsid w:val="00374DFC"/>
    <w:rsid w:val="00376A3F"/>
    <w:rsid w:val="003774A3"/>
    <w:rsid w:val="00380AF8"/>
    <w:rsid w:val="003A4D37"/>
    <w:rsid w:val="003A79D5"/>
    <w:rsid w:val="003B3436"/>
    <w:rsid w:val="003B4E54"/>
    <w:rsid w:val="003D2DA9"/>
    <w:rsid w:val="003E1630"/>
    <w:rsid w:val="004114EB"/>
    <w:rsid w:val="00420D53"/>
    <w:rsid w:val="004263FC"/>
    <w:rsid w:val="00430B7E"/>
    <w:rsid w:val="00437C2E"/>
    <w:rsid w:val="00443202"/>
    <w:rsid w:val="00446A8E"/>
    <w:rsid w:val="00466A4F"/>
    <w:rsid w:val="004A414D"/>
    <w:rsid w:val="004A54D7"/>
    <w:rsid w:val="004C3AAC"/>
    <w:rsid w:val="004C658D"/>
    <w:rsid w:val="004D13A3"/>
    <w:rsid w:val="004E2F96"/>
    <w:rsid w:val="004E359E"/>
    <w:rsid w:val="004F3B41"/>
    <w:rsid w:val="004F6AC1"/>
    <w:rsid w:val="004F7731"/>
    <w:rsid w:val="0053543D"/>
    <w:rsid w:val="00537413"/>
    <w:rsid w:val="005452B9"/>
    <w:rsid w:val="00572456"/>
    <w:rsid w:val="00581B5F"/>
    <w:rsid w:val="005B4A31"/>
    <w:rsid w:val="005C12D6"/>
    <w:rsid w:val="005D2814"/>
    <w:rsid w:val="005D5956"/>
    <w:rsid w:val="00602805"/>
    <w:rsid w:val="0061658B"/>
    <w:rsid w:val="006215A8"/>
    <w:rsid w:val="006317AE"/>
    <w:rsid w:val="006319B1"/>
    <w:rsid w:val="006324ED"/>
    <w:rsid w:val="006328B5"/>
    <w:rsid w:val="00652657"/>
    <w:rsid w:val="0067779A"/>
    <w:rsid w:val="0068088A"/>
    <w:rsid w:val="006A3B03"/>
    <w:rsid w:val="006C597C"/>
    <w:rsid w:val="006D24A0"/>
    <w:rsid w:val="006D63D4"/>
    <w:rsid w:val="006E4158"/>
    <w:rsid w:val="006F320C"/>
    <w:rsid w:val="00703C18"/>
    <w:rsid w:val="007265D5"/>
    <w:rsid w:val="00732133"/>
    <w:rsid w:val="00742FB9"/>
    <w:rsid w:val="007466F7"/>
    <w:rsid w:val="007534F7"/>
    <w:rsid w:val="00760EF7"/>
    <w:rsid w:val="00767AE0"/>
    <w:rsid w:val="007A555F"/>
    <w:rsid w:val="007A65AE"/>
    <w:rsid w:val="007C1E59"/>
    <w:rsid w:val="007C724C"/>
    <w:rsid w:val="007D0434"/>
    <w:rsid w:val="007D0FB5"/>
    <w:rsid w:val="007D6078"/>
    <w:rsid w:val="007E2E8C"/>
    <w:rsid w:val="007E387E"/>
    <w:rsid w:val="008003AF"/>
    <w:rsid w:val="00807DA7"/>
    <w:rsid w:val="008111C5"/>
    <w:rsid w:val="0081508E"/>
    <w:rsid w:val="008224F7"/>
    <w:rsid w:val="00832B9F"/>
    <w:rsid w:val="00834B6F"/>
    <w:rsid w:val="0084229B"/>
    <w:rsid w:val="00856678"/>
    <w:rsid w:val="0087607D"/>
    <w:rsid w:val="00891273"/>
    <w:rsid w:val="00895422"/>
    <w:rsid w:val="008A0658"/>
    <w:rsid w:val="008B1236"/>
    <w:rsid w:val="008B203B"/>
    <w:rsid w:val="008D3D82"/>
    <w:rsid w:val="008E1930"/>
    <w:rsid w:val="008F17C6"/>
    <w:rsid w:val="008F375A"/>
    <w:rsid w:val="00902769"/>
    <w:rsid w:val="00944040"/>
    <w:rsid w:val="00954E04"/>
    <w:rsid w:val="00954EDA"/>
    <w:rsid w:val="00975570"/>
    <w:rsid w:val="0098734B"/>
    <w:rsid w:val="0099393D"/>
    <w:rsid w:val="009A6037"/>
    <w:rsid w:val="009C0B90"/>
    <w:rsid w:val="009E079A"/>
    <w:rsid w:val="009E3115"/>
    <w:rsid w:val="009E5CD9"/>
    <w:rsid w:val="009E638D"/>
    <w:rsid w:val="00A02A5D"/>
    <w:rsid w:val="00A126AF"/>
    <w:rsid w:val="00A27763"/>
    <w:rsid w:val="00A43FFC"/>
    <w:rsid w:val="00A63F07"/>
    <w:rsid w:val="00A855A6"/>
    <w:rsid w:val="00AA0BD9"/>
    <w:rsid w:val="00AA1834"/>
    <w:rsid w:val="00AA2EE5"/>
    <w:rsid w:val="00AA53E1"/>
    <w:rsid w:val="00AC14B3"/>
    <w:rsid w:val="00AC3AD0"/>
    <w:rsid w:val="00AC56E0"/>
    <w:rsid w:val="00AD412F"/>
    <w:rsid w:val="00AE6C65"/>
    <w:rsid w:val="00AE6F95"/>
    <w:rsid w:val="00AF5593"/>
    <w:rsid w:val="00B15684"/>
    <w:rsid w:val="00B306B5"/>
    <w:rsid w:val="00B3249D"/>
    <w:rsid w:val="00B43102"/>
    <w:rsid w:val="00B51465"/>
    <w:rsid w:val="00B5292B"/>
    <w:rsid w:val="00B64E34"/>
    <w:rsid w:val="00B8710D"/>
    <w:rsid w:val="00B97912"/>
    <w:rsid w:val="00BB2FC9"/>
    <w:rsid w:val="00BB7935"/>
    <w:rsid w:val="00BC50D8"/>
    <w:rsid w:val="00BD3CD3"/>
    <w:rsid w:val="00C058D2"/>
    <w:rsid w:val="00C13251"/>
    <w:rsid w:val="00C1555E"/>
    <w:rsid w:val="00C213E7"/>
    <w:rsid w:val="00C24BF0"/>
    <w:rsid w:val="00C53F1F"/>
    <w:rsid w:val="00C73DD6"/>
    <w:rsid w:val="00C761F4"/>
    <w:rsid w:val="00C8563C"/>
    <w:rsid w:val="00C9513D"/>
    <w:rsid w:val="00CD5254"/>
    <w:rsid w:val="00CE7BEB"/>
    <w:rsid w:val="00CF58A3"/>
    <w:rsid w:val="00D027C3"/>
    <w:rsid w:val="00D1039F"/>
    <w:rsid w:val="00D10832"/>
    <w:rsid w:val="00D11933"/>
    <w:rsid w:val="00D126BB"/>
    <w:rsid w:val="00D17811"/>
    <w:rsid w:val="00D44587"/>
    <w:rsid w:val="00D53DB7"/>
    <w:rsid w:val="00D5491F"/>
    <w:rsid w:val="00D608F7"/>
    <w:rsid w:val="00D700FB"/>
    <w:rsid w:val="00D72537"/>
    <w:rsid w:val="00D82467"/>
    <w:rsid w:val="00DA3373"/>
    <w:rsid w:val="00DB541B"/>
    <w:rsid w:val="00DC294A"/>
    <w:rsid w:val="00DE6928"/>
    <w:rsid w:val="00DE7B04"/>
    <w:rsid w:val="00DF059C"/>
    <w:rsid w:val="00E12637"/>
    <w:rsid w:val="00E1332B"/>
    <w:rsid w:val="00E26A8A"/>
    <w:rsid w:val="00E42C7D"/>
    <w:rsid w:val="00E476C3"/>
    <w:rsid w:val="00E70EFA"/>
    <w:rsid w:val="00E71340"/>
    <w:rsid w:val="00E80A35"/>
    <w:rsid w:val="00E86F49"/>
    <w:rsid w:val="00E94B61"/>
    <w:rsid w:val="00EA0773"/>
    <w:rsid w:val="00EA1974"/>
    <w:rsid w:val="00EB1B24"/>
    <w:rsid w:val="00EE02C4"/>
    <w:rsid w:val="00EE2824"/>
    <w:rsid w:val="00EF4690"/>
    <w:rsid w:val="00F05CC2"/>
    <w:rsid w:val="00F07ECC"/>
    <w:rsid w:val="00F20D06"/>
    <w:rsid w:val="00F33E75"/>
    <w:rsid w:val="00F43B77"/>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4114EB"/>
    <w:rPr>
      <w:color w:val="605E5C"/>
      <w:shd w:val="clear" w:color="auto" w:fill="E1DFDD"/>
    </w:rPr>
  </w:style>
  <w:style w:type="paragraph" w:customStyle="1" w:styleId="msolistparagraph0">
    <w:name w:val="msolistparagraph"/>
    <w:basedOn w:val="Normal"/>
    <w:rsid w:val="00112417"/>
    <w:pPr>
      <w:spacing w:after="0" w:line="240" w:lineRule="auto"/>
      <w:ind w:left="720"/>
    </w:pPr>
    <w:rPr>
      <w:rFonts w:ascii="Calibri" w:eastAsia="Calibri" w:hAnsi="Calibri" w:cs="Times New Roman"/>
      <w:lang w:val="en-US"/>
    </w:rPr>
  </w:style>
  <w:style w:type="character" w:customStyle="1" w:styleId="ListParagraphChar">
    <w:name w:val="List Paragraph Char"/>
    <w:aliases w:val="normal Char,Numbered List Char"/>
    <w:basedOn w:val="DefaultParagraphFont"/>
    <w:link w:val="ListParagraph"/>
    <w:locked/>
    <w:rsid w:val="00E4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14287085">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912663934">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047680926">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542134869">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https://www.nhs.uk/using-the-nhs/about-the-nhs/opt-out-of-sharing-your-health-reco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gital.nhs.uk/services/gp-connect/gp-connect-in-your-organisation/transparency-notice"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mailto:enquiries@nhsdigital.nhs.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0"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header" Target="header1.xml"/><Relationship Id="rId10" Type="http://schemas.openxmlformats.org/officeDocument/2006/relationships/hyperlink" Target="https://www.gov.uk/government/collections/population-screening-programmes-document-collection" TargetMode="External"/><Relationship Id="rId19" Type="http://schemas.openxmlformats.org/officeDocument/2006/relationships/hyperlink" Target="https://www.opensafely.org/"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yperlink" Target="https://www.scwcsu.nhs.uk/legal/fair-processing-notice-child-health-information-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18</Pages>
  <Words>6055</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ROONEY, Cher (ARDINGLY COURT SURGERY)</cp:lastModifiedBy>
  <cp:revision>4</cp:revision>
  <dcterms:created xsi:type="dcterms:W3CDTF">2026-06-29T11:35:00Z</dcterms:created>
  <dcterms:modified xsi:type="dcterms:W3CDTF">2026-06-29T14:23:00Z</dcterms:modified>
</cp:coreProperties>
</file>